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textJustify"/>
        <w:pBdr>
          <w:top w:val="none" w:sz="0" w:space="24" w:color="auto"/>
        </w:pBdr>
        <w:spacing w:before="0" w:after="210"/>
        <w:ind w:left="0" w:right="0"/>
        <w:rPr>
          <w:rFonts w:ascii="Arial" w:eastAsia="Arial" w:hAnsi="Arial" w:cs="Arial"/>
          <w:color w:val="808080"/>
          <w:sz w:val="21"/>
          <w:szCs w:val="21"/>
        </w:rPr>
      </w:pPr>
      <w:r>
        <w:rPr>
          <w:rFonts w:ascii="Arial" w:eastAsia="Arial" w:hAnsi="Arial" w:cs="Arial"/>
          <w:color w:val="808080"/>
          <w:sz w:val="21"/>
          <w:szCs w:val="21"/>
        </w:rPr>
        <w:t>Opozorilo: Neuradno prečiščeno besedilo predpisa predstavlja zgolj informativni delovni pripomoček, glede katerega organ ne jamči odškodninsko ali kako drugače.</w:t>
      </w:r>
    </w:p>
    <w:p>
      <w:pPr>
        <w:pStyle w:val="zamik"/>
        <w:pBdr>
          <w:top w:val="none" w:sz="0" w:space="24" w:color="auto"/>
        </w:pBdr>
        <w:spacing w:before="210" w:after="210"/>
        <w:ind w:left="0" w:right="0"/>
        <w:jc w:val="both"/>
        <w:rPr>
          <w:rFonts w:ascii="Arial" w:eastAsia="Arial" w:hAnsi="Arial" w:cs="Arial"/>
          <w:sz w:val="21"/>
          <w:szCs w:val="21"/>
        </w:rPr>
      </w:pPr>
      <w:r>
        <w:rPr>
          <w:rFonts w:ascii="Arial" w:eastAsia="Arial" w:hAnsi="Arial" w:cs="Arial"/>
          <w:sz w:val="21"/>
          <w:szCs w:val="21"/>
        </w:rPr>
        <w:t>Neuradno prečiščeno besedilo Uredbe o ureditvi trga z vinom obsega: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Uredbo o ureditvi trga z vinom (Uradni list RS, št. 6/12 z dne 27. 1. 2012),</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Uredbo o spremembi Uredbe o ureditvi trga z vinom (Uradni list RS, št. 38/12 z dne 25. 5. 2012),</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Uredbo o spremembah in dopolnitvah Uredbe o ureditvi trga z vinom (Uradni list RS, št. 24/13 z dne 20. 3. 2013),</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Uredbo o spremembah in dopolnitvah Uredbe o ureditvi trga z vinom (Uradni list RS, št. 66/14 z dne 12. 9. 2014),</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Uredbo o izvajanju podpornega programa v vinskem sektorju (Uradni list RS, št. 38/16 z dne 27. 5. 2016),</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Uredbo o spremembah in dopolnitvah Uredbe o ureditvi trga z vinom (Uradni list RS, št. 14/17 z dne 24. 3. 2017).</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UREDBA</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o ureditvi trga z vinom</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(neuradno prečiščeno besedilo št. 5)</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 poglavje: VSEBINA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uredba ureja ukrepe za ureditev trga z vinom, podporo vinarskemu sektorju za sejemske in promocijske dejavnosti na ciljnih trgih ter organizacije proizvajalcev vina za izvajanje: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Uredbe (EU) št. 1308/2013 Evropskega parlamenta in Sveta z dne 17. decembra 2013 o vzpostavitvi skupne ureditve trgov kmetijskih proizvodov in razveljavitvi uredb Sveta (EGS) št. 922/72, (EGS) št. 234/79, (ES) št. 1037/2001 in (ES) št. 1234/2007 (UL L št. 347 z dne 20. 12. 2013, str. 671), zadnjič spremenjene z Uredbo (EU) št. 1310/2013 Evropskega parlamenta in Sveta z dne 17. decembra 2013 o določitvi nekaterih prehodnih določb glede podpore za razvoj podeželja iz Evropskega kmetijskega sklada za razvoj podeželja (EKSRP), o spremembi Uredbe (EU) št. 1305/2013 Evropskega parlamenta in Sveta glede sredstev in njihove razdelitve za leto 2014 in o spremembi Uredbe Sveta (ES) št. 73/2009 in uredb (EU) št. 1307/2013, (EU) št. 1306/2013 in (EU) št. 1308/2013 Evropskega parlamenta in Sveta v zvezi z njihovo uporabo v letu 2014 (UL L št. 347 z dne 20. 12. 2013, str. 865), (v nadaljnjem besedilu: Uredba 1308/2013/EU),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Uredbe Komisije (ES) št. 555/2008 z dne 27. junija 2008 o določitvi podrobnih pravil za izvajanje Uredbe Sveta (ES) št. 479/2008 o skupni ureditvi trga za vino glede podpornih programov, trgovine s tretjimi državami in obsega vinogradniških površin ter o izvajanju nadzora v vinskem sektorju (UL L št. 170 z dne 30. 6. 2008, str. 1), zadnjič spremenjene z Izvedbeno uredbo Komisije (EU) št. 614/2014 z dne 6. junija 2014 o spremembi Uredbe (ES) št. 555/2008 glede uporabe nekaterih podpornih ukrepov v vinskem sektorju (UL L št. 168 z dne 7. 6. 2014, str. 73), (v nadaljnjem besedilu: Uredba 555/2008/ES)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Uredbe Komisije (EU) št. 1407/2013 z dne 18. decembra 2013 o uporabi členov 107 in 108 Pogodbe o delovanju Evropske unije pri pomoči </w:t>
      </w:r>
      <w:r>
        <w:rPr>
          <w:rFonts w:ascii="Arial" w:eastAsia="Arial" w:hAnsi="Arial" w:cs="Arial"/>
          <w:i/>
          <w:iCs/>
          <w:sz w:val="21"/>
          <w:szCs w:val="21"/>
        </w:rPr>
        <w:t xml:space="preserve">de minimis </w:t>
      </w:r>
      <w:r>
        <w:rPr>
          <w:rFonts w:ascii="Arial" w:eastAsia="Arial" w:hAnsi="Arial" w:cs="Arial"/>
          <w:sz w:val="21"/>
          <w:szCs w:val="21"/>
        </w:rPr>
        <w:t>(UL L št. 352 z dne 24. 12. 2013, str. 1; v nadaljnjem besedilu: Uredba 1407/2013/EU).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(splošne določbe)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izvajanje te uredbe se uporabljajo podatki, ki se vodijo v registru pridelovalcev grozdja in vina (v nadaljnjem besedilu: register) in registru kmetijskih gospodarstev.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Vinsko leto po tej uredbi je obdobje od 1. avgusta do 31. julija naslednjega leta.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pridobitev sredstev po tej uredbi ni treba vložiti zbirne vloge v skladu s predpisom, ki ureja izvedbo ukrepov kmetijske politike.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 poglavje: UKREPI ZA UREDITEV TRGA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33.%20člen" w:history="1">
        <w:r>
          <w:rPr>
            <w:rFonts w:ascii="Arial" w:eastAsia="Arial" w:hAnsi="Arial" w:cs="Arial"/>
            <w:b/>
            <w:bCs/>
            <w:color w:val="0000EE"/>
            <w:sz w:val="21"/>
            <w:szCs w:val="21"/>
            <w:u w:val="single" w:color="0000EE"/>
          </w:rPr>
          <w:t>prenehal veljati</w:t>
        </w:r>
      </w:hyperlink>
      <w:r>
        <w:rPr>
          <w:rFonts w:ascii="Arial" w:eastAsia="Arial" w:hAnsi="Arial" w:cs="Arial"/>
          <w:b/>
          <w:bCs/>
          <w:sz w:val="21"/>
          <w:szCs w:val="21"/>
        </w:rPr>
        <w:t>)</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Podpora za prestrukturiranje vinogradniških površin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33.%20člen" w:history="1">
        <w:r>
          <w:rPr>
            <w:rFonts w:ascii="Arial" w:eastAsia="Arial" w:hAnsi="Arial" w:cs="Arial"/>
            <w:b/>
            <w:bCs/>
            <w:color w:val="0000EE"/>
            <w:sz w:val="21"/>
            <w:szCs w:val="21"/>
            <w:u w:val="single" w:color="0000EE"/>
          </w:rPr>
          <w:t>prenehal veljati</w:t>
        </w:r>
      </w:hyperlink>
      <w:r>
        <w:rPr>
          <w:rFonts w:ascii="Arial" w:eastAsia="Arial" w:hAnsi="Arial" w:cs="Arial"/>
          <w:b/>
          <w:bCs/>
          <w:sz w:val="21"/>
          <w:szCs w:val="21"/>
        </w:rPr>
        <w: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33.%20člen" w:history="1">
        <w:r>
          <w:rPr>
            <w:rFonts w:ascii="Arial" w:eastAsia="Arial" w:hAnsi="Arial" w:cs="Arial"/>
            <w:b/>
            <w:bCs/>
            <w:color w:val="0000EE"/>
            <w:sz w:val="21"/>
            <w:szCs w:val="21"/>
            <w:u w:val="single" w:color="0000EE"/>
          </w:rPr>
          <w:t>prenehal veljati</w:t>
        </w:r>
      </w:hyperlink>
      <w:r>
        <w:rPr>
          <w:rFonts w:ascii="Arial" w:eastAsia="Arial" w:hAnsi="Arial" w:cs="Arial"/>
          <w:b/>
          <w:bCs/>
          <w:sz w:val="21"/>
          <w:szCs w:val="21"/>
        </w:rPr>
        <w: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33.%20člen" w:history="1">
        <w:r>
          <w:rPr>
            <w:rFonts w:ascii="Arial" w:eastAsia="Arial" w:hAnsi="Arial" w:cs="Arial"/>
            <w:b/>
            <w:bCs/>
            <w:color w:val="0000EE"/>
            <w:sz w:val="21"/>
            <w:szCs w:val="21"/>
            <w:u w:val="single" w:color="0000EE"/>
          </w:rPr>
          <w:t>prenehal veljati</w:t>
        </w:r>
      </w:hyperlink>
      <w:r>
        <w:rPr>
          <w:rFonts w:ascii="Arial" w:eastAsia="Arial" w:hAnsi="Arial" w:cs="Arial"/>
          <w:b/>
          <w:bCs/>
          <w:sz w:val="21"/>
          <w:szCs w:val="21"/>
        </w:rPr>
        <w: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33.%20člen" w:history="1">
        <w:r>
          <w:rPr>
            <w:rFonts w:ascii="Arial" w:eastAsia="Arial" w:hAnsi="Arial" w:cs="Arial"/>
            <w:b/>
            <w:bCs/>
            <w:color w:val="0000EE"/>
            <w:sz w:val="21"/>
            <w:szCs w:val="21"/>
            <w:u w:val="single" w:color="0000EE"/>
          </w:rPr>
          <w:t>prenehal veljati</w:t>
        </w:r>
      </w:hyperlink>
      <w:r>
        <w:rPr>
          <w:rFonts w:ascii="Arial" w:eastAsia="Arial" w:hAnsi="Arial" w:cs="Arial"/>
          <w:b/>
          <w:bCs/>
          <w:sz w:val="21"/>
          <w:szCs w:val="21"/>
        </w:rPr>
        <w: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33.%20člen" w:history="1">
        <w:r>
          <w:rPr>
            <w:rFonts w:ascii="Arial" w:eastAsia="Arial" w:hAnsi="Arial" w:cs="Arial"/>
            <w:b/>
            <w:bCs/>
            <w:color w:val="0000EE"/>
            <w:sz w:val="21"/>
            <w:szCs w:val="21"/>
            <w:u w:val="single" w:color="0000EE"/>
          </w:rPr>
          <w:t>prenehal veljati</w:t>
        </w:r>
      </w:hyperlink>
      <w:r>
        <w:rPr>
          <w:rFonts w:ascii="Arial" w:eastAsia="Arial" w:hAnsi="Arial" w:cs="Arial"/>
          <w:b/>
          <w:bCs/>
          <w:sz w:val="21"/>
          <w:szCs w:val="21"/>
        </w:rPr>
        <w: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33.%20člen" w:history="1">
        <w:r>
          <w:rPr>
            <w:rFonts w:ascii="Arial" w:eastAsia="Arial" w:hAnsi="Arial" w:cs="Arial"/>
            <w:b/>
            <w:bCs/>
            <w:color w:val="0000EE"/>
            <w:sz w:val="21"/>
            <w:szCs w:val="21"/>
            <w:u w:val="single" w:color="0000EE"/>
          </w:rPr>
          <w:t>prenehal veljati</w:t>
        </w:r>
      </w:hyperlink>
      <w:r>
        <w:rPr>
          <w:rFonts w:ascii="Arial" w:eastAsia="Arial" w:hAnsi="Arial" w:cs="Arial"/>
          <w:b/>
          <w:bCs/>
          <w:sz w:val="21"/>
          <w:szCs w:val="21"/>
        </w:rPr>
        <w: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33.%20člen" w:history="1">
        <w:r>
          <w:rPr>
            <w:rFonts w:ascii="Arial" w:eastAsia="Arial" w:hAnsi="Arial" w:cs="Arial"/>
            <w:b/>
            <w:bCs/>
            <w:color w:val="0000EE"/>
            <w:sz w:val="21"/>
            <w:szCs w:val="21"/>
            <w:u w:val="single" w:color="0000EE"/>
          </w:rPr>
          <w:t>prenehal veljati</w:t>
        </w:r>
      </w:hyperlink>
      <w:r>
        <w:rPr>
          <w:rFonts w:ascii="Arial" w:eastAsia="Arial" w:hAnsi="Arial" w:cs="Arial"/>
          <w:b/>
          <w:bCs/>
          <w:sz w:val="21"/>
          <w:szCs w:val="21"/>
        </w:rPr>
        <w:t>)</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Podpora za promocijo vina na trgih tretjih držav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33.%20člen" w:history="1">
        <w:r>
          <w:rPr>
            <w:rFonts w:ascii="Arial" w:eastAsia="Arial" w:hAnsi="Arial" w:cs="Arial"/>
            <w:b/>
            <w:bCs/>
            <w:color w:val="0000EE"/>
            <w:sz w:val="21"/>
            <w:szCs w:val="21"/>
            <w:u w:val="single" w:color="0000EE"/>
          </w:rPr>
          <w:t>prenehal veljati</w:t>
        </w:r>
      </w:hyperlink>
      <w:r>
        <w:rPr>
          <w:rFonts w:ascii="Arial" w:eastAsia="Arial" w:hAnsi="Arial" w:cs="Arial"/>
          <w:b/>
          <w:bCs/>
          <w:sz w:val="21"/>
          <w:szCs w:val="21"/>
        </w:rPr>
        <w: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33.%20člen" w:history="1">
        <w:r>
          <w:rPr>
            <w:rFonts w:ascii="Arial" w:eastAsia="Arial" w:hAnsi="Arial" w:cs="Arial"/>
            <w:b/>
            <w:bCs/>
            <w:color w:val="0000EE"/>
            <w:sz w:val="21"/>
            <w:szCs w:val="21"/>
            <w:u w:val="single" w:color="0000EE"/>
          </w:rPr>
          <w:t>prenehal veljati</w:t>
        </w:r>
      </w:hyperlink>
      <w:r>
        <w:rPr>
          <w:rFonts w:ascii="Arial" w:eastAsia="Arial" w:hAnsi="Arial" w:cs="Arial"/>
          <w:b/>
          <w:bCs/>
          <w:sz w:val="21"/>
          <w:szCs w:val="21"/>
        </w:rPr>
        <w: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33.%20člen" w:history="1">
        <w:r>
          <w:rPr>
            <w:rFonts w:ascii="Arial" w:eastAsia="Arial" w:hAnsi="Arial" w:cs="Arial"/>
            <w:b/>
            <w:bCs/>
            <w:color w:val="0000EE"/>
            <w:sz w:val="21"/>
            <w:szCs w:val="21"/>
            <w:u w:val="single" w:color="0000EE"/>
          </w:rPr>
          <w:t>prenehal veljati</w:t>
        </w:r>
      </w:hyperlink>
      <w:r>
        <w:rPr>
          <w:rFonts w:ascii="Arial" w:eastAsia="Arial" w:hAnsi="Arial" w:cs="Arial"/>
          <w:b/>
          <w:bCs/>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(3) O zahtevkih iz prvega odstavka tega člena odloči agencija.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33.%20člen" w:history="1">
        <w:r>
          <w:rPr>
            <w:rFonts w:ascii="Arial" w:eastAsia="Arial" w:hAnsi="Arial" w:cs="Arial"/>
            <w:b/>
            <w:bCs/>
            <w:color w:val="0000EE"/>
            <w:sz w:val="21"/>
            <w:szCs w:val="21"/>
            <w:u w:val="single" w:color="0000EE"/>
          </w:rPr>
          <w:t>prenehal veljati</w:t>
        </w:r>
      </w:hyperlink>
      <w:r>
        <w:rPr>
          <w:rFonts w:ascii="Arial" w:eastAsia="Arial" w:hAnsi="Arial" w:cs="Arial"/>
          <w:b/>
          <w:bCs/>
          <w:sz w:val="21"/>
          <w:szCs w:val="21"/>
        </w:rPr>
        <w:t>)</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Podpora za zeleno trgatev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4. Umik stranskih proizvodov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(umik stranskih proizvodov)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Zaradi preprečevanja presežka pridelka in izplena se tropine in droži umaknejo pod nadzorom v skladu z določili 22. člena Uredbe 555/2008/ES. Pri tem morajo tropine in droži vsebovati najmanj 0,5 vol. % alkohola.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se v postopku pridelave grozdja in vina prekorači predpisani hektarski pridelek grozdja oziroma izplen stiskanja grozdja tako, da se preseže 14 000 litrov vina na hektar, ali če tropine in droži vsebujejo manj kot 0,5 vol. % alkohola, mora pridelovalec količino vina, ki predstavlja razliko med dejansko dobljeno količino grozdja oziroma vina in največjo dovoljeno količino grozdja oziroma vina (v nadaljnjem besedilu: presežna količina), obvezno destilirati.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Zavezanec za obvezno destilacijo vina je pridelovalec grozdja in vina iz prejšnjega odstavka, ki prekorači predpisani hektarski pridelek oziroma predpisani izplen, ali pridelovalec vina, ki od pridelovalca grozdja odkupi in prijavi v register pridelek s presežno količino.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Destilacijo presežne količine mora zavezanec za obvezno destilacijo vina izvesti na svoj račun, najpozneje en mesec po prijavi pridelka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O datumu in kraju destilacije presežne količine mora zavezanec za obvezno destilacijo vina pisno obvestiti kmetijsko inšpekcijo najmanj deset dni prej. O izvedbi destilacije naredi kmetijski inšpektor zapisnik, iz katerega so razvidni podatki o vinogradu, v katerem je bil pridelek presežen, o količinah pridelka in o presežnih količinah. Zapisnik kmetijskega inšpektorja zavezanec za obvezno destilacijo vina predloži ob prijavi ustreznega zmanjšanja pridelka v registru, kar je pogoj za trženje drugega pridelka tega pridelovalca. Do ustreznega zmanjšanja prijave pridelka pooblaščena organizacija za oceno vina ne sme izdati odločbe o ocenitvi katerega koli njegovega pridelka.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Zavezanec za obvezno destilacijo vina mora destilat, pridobljen v skladu s tem členom, hraniti še najmanj dve leti po njeni izvedbi.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III. poglavje: PODPORA VINARSKEMU SEKTORJU ZA SEJEMSKE IN PROMOCIJSKE DEJAVNOSTI NA CILJNIH TRGIH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(uporabljeni izrazi)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tem poglavju imajo uporabljeni izrazi naslednji pomen: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novo tržišče za določeno vino posameznega pridelovalca pomeni natančno opredeljeno tržišče, na katerem vina tega pridelovalca, ki je predmet prodaje, še ni. Vino, ki je predmet prodaje, se mora glede bistvenih značilnosti (sorta, blagovna znamka oziroma tehnologija pridelave) razlikovati od vin istega pridelovalca, ki se že prodajajo na območju novega tržišča;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uvajanje vina na novem tržišču pomeni dejavnosti, ki se izvajajo, da se na novem tržišču začne prodaja določenega vina posameznega pridelovalca;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enotna podoba pomeni najmanj uporabo enotne promocijske oznake, ki označuje državo porekla vina in se pojavlja na vseh predstavitvenih materialih in prostorih.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(vrste in oblika pomoči)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uresničitev ciljev kmetijske politike ter zagotavljanje možnosti za razvoj in prilagajanje razmeram na trgu ministrstvo zagotovi upravičencem iz 23. člena te uredbe sredstva za naslednje vrste pomoči: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pomoč za sodelovanje na specializiranih sejmih Prowein v Dusseldorfu, Nemčija, LIWF v Londonu, Velika Britanija, in Vinitaly v Veroni, Italija (v nadaljnjem besedilu: sodelovanje na sejmih),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pomoč za promocijske dejavnosti na trgih Velike Britanije, Nemčije, Italije, Francije, Avstrije, Poljske, Belgije, Nizozemske in Hrvaške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pomoč za svetovanje zaradi uvajanja vina na novem tržišču oziroma svetovanje iz enologije in izobraževanje.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(2) Pomoč iz tega poglavja se dodeli kot pomoč </w:t>
      </w:r>
      <w:r>
        <w:rPr>
          <w:rFonts w:ascii="Arial" w:eastAsia="Arial" w:hAnsi="Arial" w:cs="Arial"/>
          <w:i/>
          <w:iCs/>
          <w:sz w:val="21"/>
          <w:szCs w:val="21"/>
        </w:rPr>
        <w:t>de minimis</w:t>
      </w:r>
      <w:r>
        <w:rPr>
          <w:rFonts w:ascii="Arial" w:eastAsia="Arial" w:hAnsi="Arial" w:cs="Arial"/>
          <w:sz w:val="21"/>
          <w:szCs w:val="21"/>
        </w:rPr>
        <w:t xml:space="preserve"> na podlagi Uredbe 1407/2013/EU </w:t>
      </w:r>
      <w:r>
        <w:rPr>
          <w:rFonts w:ascii="Arial" w:eastAsia="Arial" w:hAnsi="Arial" w:cs="Arial"/>
          <w:i/>
          <w:iCs/>
          <w:sz w:val="21"/>
          <w:szCs w:val="21"/>
        </w:rPr>
        <w: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(upravičeni stroški)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Upravičeni stroški sodelovanja na sejmih iz prve alineje prvega odstavka prejšnjega člena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stroški najema oziroma zakupa sejemskega prostora za stojnico oziroma razstavnih površin, vključno s stroški kotizacije, stroški zavarovalnine za čas sodelovanja na sejmu in stroški navedbe v skupnem katalogu ter stroški izdelave kataloga vin,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stroški oblikovanja stojnice, njene izdelave, postavitve in podiranja, stroški prevoza stojnice na sejem in nazaj, stroški njenega upravljanja (energija, ogrevanje in voda), najem preprog, pohištva in opreme, stroški čiščenja, stroški priključitve in uporabe telefona ali interneta, stroški najema kozarcev, tehničnih pripomočkov za predstavitev (zasloni, računalniki, projektorji in podobno), stroški nabave ledu za hlajenje vina, stroški ravnanja z odpadki, stroški parkiranja na sejemskem parkirišču, stroški prevoza sejemskih eksponatov in sejemskega materiala, prevoza nazaj in zavarovanja med prevozom ter okoljske takse,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stroški nastanitve oziroma prevoza s sredstvi javnega prometa oseb, redno zaposlenih pri upravičencu, ali oseb, ki za upravičenca storitev sodelovanja na dogodku opravljajo po pogodbi, oziroma nosilca in članov kmetijskega gospodarstva zaradi sodelovanja na sejmu, za največ dve osebi, in sicer nastanitveni stroški med sejmom ter za največ en dan pred začetkom in po koncu sejma, ki se priznajo do višine največ 150 EUR/dan/osebo, ter stroški letalske vozovnice za ekonomski razred (eno potovanje/osebo/sejem) ali vozovnice za potovanje z vlakom 2. razreda ali vozovnice za potovanje z drugim javnim prevozom, razen s taksijem,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stroški dela pomožnega osebja v zvezi s postavitvijo in ureditvijo sejemskega prostora ter v zvezi s sodelovanjem oziroma predstavljanjem na sejmu, ki se priznajo do višine največ 12 EUR/uro/osebo in največ dve osebi ter za povprečno največ 12 ur na dan,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stroški najema dodatnih prostorov za izvedbo vzporednih predstavitvenih dogodkov, ki so običajne dejavnosti sodelovanja na sejmih, vključno s stroški kotizacije, zavarovalnine za čas sodelovanja na sejmu in navedbe v skupnem katalogu,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stroški dela oseb iz tretje alineje tega odstavka za redno zaposlene pri upravičencu, ali oseb, ki za upravičenca storitev sodelovanja na dogodku opravljajo po pogodbi, oziroma za nosilce in člane kmetijskega gospodarstva na sejmu, ki nastanejo v času sodelovanja upravičenca na sejmu. Stroški se priznajo za največ dve osebi, in sicer za povprečno največ 12 ur/dan do višine največ 12 EUR/uro/osebo,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potni stroški največ dveh oseb iz tretje alineje tega odstavka, redno zaposlenih pri upravičencu, ali oseb, ki za upravičenca storitev sodelovanja na dogodku opravljajo po pogodbi, oziroma nosilca in članov kmetijskega gospodarstva v zvezi s prisotnostjo na sejmu, ki zajemajo kilometrino, cestnino in parkirnino do višine dejansko plačanih stroškov (parkirnina in cestnina) ali do višine, ki se kot povračilo stroškov za službena potovanja ne všteva v davčno osnovo na podlagi predpisa o višini povračil stroškov v zvezi s službenim potovanjem, ki se ne vštevajo v davčno osnovo (kilometrina). Pri izračunu kilometrine se upošteva razdalja, ki je običajna med dvema krajema.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Upravičeni stroški za promocijske dejavnosti iz druge alineje prvega odstavka prejšnjega člena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stroški objav v medijih (v nadaljnjem besedilu: objave v medijih), ki vključujejo idejno zasnovo in produkcijo, zakup medijskega prostora, honorarje za pripravo besedil, stroške nastanitve avtorja objave v Republiki Sloveniji in njegove potne stroške, ki se določijo v skladu z omejitvami iz tretje in sedme alineje prejšnjega odstavka,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stroški izvedbe predstavitev vin za trgovce, novinarje, gostince ali strokovno javnost (v nadaljnjem besedilu: predstavitve vin), ki vključujejo najem prostorov za izvedbo promocijskih dejavnosti, vključno s stroški kotizacije, zavarovalnine za čas predstavitve vin, navedbe v skupnem katalogu, izdelavo kataloga vin in stroške nastanitve, dela oziroma prevoza, določene v skladu z omejitvami iz tretje, šeste in sedme alineje prejšnjega odstavka, ter strošek pogostitve udeležencev, ki se prizna za največ 30 udeležencev v višini največ 20 EUR/osebo,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stroški tržnih raziskav zaradi uvajanja vina na novem tržišču (v nadaljnjem besedilu: tržne raziskave), ki vključujejo plačilo dela avtorju raziskave, ki ne presega 10.000 EUR.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Upravičeni stroški svetovanja zaradi uvajanja vina na novem tržišču oziroma svetovanja iz enologije iz tretje alineje prvega odstavka prejšnjega člena (v nadaljnjem besedilu: svetovanje)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plačilo svetovalcu, ki ima znanje o zadevnem tržišču, za opravljeno svetovanje,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stroški nastanitve svetovalca med opravljanjem svetovanja in za največ en dan pred začetkom in po koncu svetovanja, ki se priznajo do višine največ 150 EUR/dan/osebo,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stroški prevoza svetovalca zaradi izvedbe svetovanja, in sicer letalske vozovnice za ekonomski razred ali vozovnice za potovanje z vlakom 2. razreda in stroški prevoza svetovalca s sredstvi javnega prometa med opravljanjem svetovanja od mesta nastanitve do kraja svetovanja, razen s taksijem.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Upravičeni stroški izobraževanja iz tretje alineje prvega odstavka prejšnjega člena (v nadaljnjem besedilu: izobraževanje) redno zaposlenih pri upravičencu oziroma nosilca in članov kmetijskega gospodarstva glede tehnologije pridelave vina, izboljšanja kakovosti vina in trženja vina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plačilo tečaja, šolnine oziroma kotizacije,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stroški namestitve med potekom izobraževanja in za največ en dan pred začetkom in po koncu izobraževanja, ki se priznajo do višine 150 EUR/dan/osebo,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stroški prevoza zaradi udeležbe na izobraževanju, in sicer letalske vozovnice za ekonomski razred (eno potovanje/osebo/izobraževanje) ali vozovnice za potovanje z vlakom 2. razreda in stroški prevoza s sredstvi javnega prometa med opravljanjem izobraževanja od mesta nastanitve do kraja izobraževanja, razen s taksijem.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Pomoč iz tega poglavja se dodeli le za sodelovanje na sejmih, pri katerih upravičenci na skupnem prostoru uporabljajo enotno podobo, in za promocijske dejavnosti iz prve in druge alineje drugega odstavka tega člena, pri katerih upravičenci uporabljajo enotno podobo. Uporaba enotne podobe je obvezna tudi, če se posameznega dogodka udeleži le en upravičenec.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Če upravičenci iz 23. člena te uredbe sodelujejo na istem sejmu ali skupaj izvajajo promocijske dejavnosti, se lahko eden ali več istih stroškov iz prve, druge, četrte oziroma pete alineje prvega odstavka tega člena oziroma iz drugega odstavka tega člena nanaša na več upravičencev, pri čemer lahko: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eden izmed upravičencev zahteva plačilo pomoči za celotni skupni strošek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vsak izmed upravičencev zahteva plačilo pomoči za svoj del stroškov.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Če podjetje, na katerega se glasi račun za celotni skupni strošek, izda račune posameznim upravičencem za plačilo njihovega dela stroška, lahko vsak upravičenec vloži zahtevek le za svoj del stroškov, vsota teh stroškov iz njihovih zahtevkov pa ne sme presegati zneska na računu za celotni upravičeni skupni strošek. Če ga presega, se upravičeni strošek vsakemu upravičencu sorazmerno zniža, tako da skupna vsota tako znižanih stroškov ne presega zneska na računu za celotni upravičeni skupni strošek.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Stroški iz prvega do četrtega odstavka tega člena se lahko nanašajo izključno na dejavnosti, povezane z vinom.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Pomoč iz tega poglavja se lahko dodeli za stroške iz prvega do četrtega odstavka tega člena, ki so nastali v letu, v katerem se vlaga zahtevek, oziroma v letu, ki je pred letom, v katerem se vlaga zahtevek, za katere je bilo dokazilo izdano med 1. junijem leta, ki je pred letom, v katerem se vlaga zahtevek, in 31. majem leta, v katerem se vlaga zahtevek.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Davek na dodano vrednost ali drug prometni davek in vino ali drugi kmetijski proizvodi se ne štejejo za upravičeni strošek na podlagi tega poglavja.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(11) Stroški iz tretje, šeste in sedme alineje prvega odstavka tega člena, stroški iz druge alineje drugega odstavka tega člena in stroški iz četrtega odstavka tega člena, ki se nanašajo na nosilca oziroma člane kmetijskega gospodarstva oziroma na redno zaposlene pri upravičencu, so upravičeni le, če so nastali v času, ko je zadevna oseba imela status nosilca oziroma člana kmetijskega gospodarstva oziroma je bila redno zaposlena pri upravičencu.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(12) Ne glede na določbo devetega odstavka tega člena se v primeru, ko upravičenec vnaprej plača del ali celotne stroške iz tega člena, pomoč iz tega poglavja lahko dodeli le za stroške iz prvega do četrtega odstavka tega člena, za katere je bilo dokazilo o vnaprejšnjem plačilu izdano največ 18 mesecev pred vložitvijo zahtevka.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(upravičenci)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Upravičenec do pomoči iz tega poglavja 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gospodarska družba v skladu z zakonom, ki ureja gospodarske družbe, ali zadruga v skladu z zakonom, ki ureja zadruge, s sedežem v Republiki Sloveniji, vpisana v register kot pridelovalec, ki prideluje in stekleniči vino;</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kmetijsko gospodarstvo, ki poleg pogojev, ki jih določa zakon, ki ureja kmetijstvo, izpolnjuje še naslednje pogoje:</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je vpisano v register kmetijskih gospodarstev v skladu s predpisom, ki ureja register kmetijskih gospodarstev,</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njegov nosilec je vpisan v register kot pridelovalec, ki prideluje in stekleniči vino,</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povprečna letna v register prijavljena količina vina v zadnjih treh letih pred letom oddaje zahtevka iz 26. člena te uredbe znaša najmanj 20 000 litrov, razen pri kmetijskem gospodarstvu, ki prideluje tudi vino iz ekološko pridelanega grozdja ali vrhunska vina posebnih kakovosti, pri katerem mora povprečna letna v register prijavljena količina vina v zadnjih treh letih pred letom oddaje zahtevka iz 26. člena te uredbe znašati najmanj 10 000 litrov; ali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gospodarska družba v skladu z zakonom, ki ureja gospodarske družbe, s sedežem v Republiki Sloveniji, ki ni vpisana v register kot pridelovalec, ki prideluje in stekleniči vino, če je imela 1. januarja leta, ki je pred letom, v katerem se vlaga zahtevek, in na dan oddaje zahtevka iz 26. člena te uredbe med družbeniki, ki imajo v njej poslovne deleže, najmanj štiri gospodarske družbe oziroma zadruge s sedežem v Republiki Sloveniji oziroma posameznike, vpisane v register kot pridelovalci, ki pridelujejo in stekleničijo vino.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potrebe tega člena se šteje, da je vino pridelano iz ekološko pridelanega grozdja, če je pridelano iz grozdja, pridelanega na kmetijskem gospodarstvu, ki je prijavljeno v kontrolo ekološke pridelave grozdja pooblaščeni organizaciji za kontrolo najpozneje do 1. januarja v letu pred letom, v katerem se vlaga zahtevek, in je neprekinjeno vključeno v kontrolo do vložitve zahtevka.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potrebe tega člena se šteje, da kmetijsko gospodarstvo prideluje vrhunska vina posebnih kakovosti, če ta predstavljajo najmanj 30 % količine vina, prijavljene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Pri ugotavljanju v register prijavljene količine vina iz prvega odstavka tega člena se v primeru, da je upravičenec kupil vino od drugega upravičenca, ta količina vina upošteva le pri kupcu.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je upravičenec kmetijsko gospodarstvo iz točke b) prvega odstavka tega člena, ki je kmetija v skladu z zakonom, ki ureja kmetijstvo, se za enotno podjetje iz drugega odstavka 2. člena Uredbe 1407/2013/EU štejejo vse dejavnosti, ki se izvajajo na tem kmetijskem gospodarstvu.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(višina pomoči)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določitev višine pomoči iz tega poglavja se uporabijo določbe Uredbe 1407/2013/EU.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Pomoč iz tega poglavja se dodeli posameznemu upravičencu v obliki nepovratnih sredstev do višine, ki ne presega skupnega zneska pomoči iz 3. člena Uredbe 1407/2013/EU. Z drugimi pomočmi se ta pomoč lahko kumulira le pod pogoji iz 5. člena Uredbe 1407/2013/EU.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Izplačana pomoč v skladu s tem poglavjem lahko znaša: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 80 % priznane vrednosti stroškov za sodelovanje na sejmih, objave v medijih, predstavitve vin in izobraževanje,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 50 % priznane vrednosti stroškov za tržne raziskave in svetovanje.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 za pridobitev pomoči)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Pomoč iz tega poglavja se dodeli, če so izpolnjeni vsi pogoji, določeni v tej uredbi in Uredbi 1407/2013/EU.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Upravičenec iz prvega odstavka 23. člena te uredbe mora imeti na podlagi evidence Davčne uprave Republike Slovenije plačane vse davke in druge obvezne dajatve.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(postopek in dodelitev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Pomoč iz tega poglavja se dodeli na podlagi zahtevka in dokazil, ki jih upravičenec iz prvega odstavka 23. člena te uredbe vloži na agencijo. Zahtevek in dokazila morajo biti speti ali vloženi v mapo po posameznih dejavnostih in vrstnem redu dokazil iz zahtevka, vsak zahtevek mora biti oddan v zaprti pošiljki, opremljeni z osebnim imenom in naslovom ali firmo in sedežem vlagatelja.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Rok za vlaganje zahtevkov iz prejšnjega odstavka 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 1. do 5. junija za zahtevke, ki se nanašajo na pomoč za sodelovanje na sejmih,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 20. do 30. junija za zahtevke, ki se nanašajo na druge pomoči iz tega poglavja.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Zahtevek iz prvega odstavka tega člena se vloži na obrazcu iz priloge 6, ki je sestavni del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Zahtevku je treba priložiti tudi: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izjave, ki so kot priloga 7 sestavni del te uredbe,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izjavo glede enotnega podjetja iz priloge 8, ki je sestavni del te uredbe,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izjavo gospodarske družbe o njenih družbenikih iz priloge 9, ki je sestavni del te uredbe, če zahtevek vloži gospodarska družba iz točke c) prvega odstavka 23. člena te uredbe,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izjavo upravičencev o sodelovanju na sejmu oziroma skupnem izvajanju drugih dejavnosti v primeru iz šestega odstavka 22. člena te uredbe,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fotokopije plačanih računov, ki se glasijo na ime upravičenca oziroma na nosilca ali člana kmetijskega gospodarstva, ki je upravičenec, in dokazila o plačilu teh računov; če na računu ni naveden zaračunan prometni davek (na primer davek na dodano vrednost) ali ni navedeno, da je dobavitelj izvzet iz obveznosti obračunavanja tega davka, ali ni navedeno, da je dobava oproščena tega davka, se strošek ne odobri,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fotokopije plačanih vozovnic za javni prevoz,</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fotokopije potnih nalogov ter dokazil o plačilu cestnin in parkirnin, če gre za upravičene stroške iz sedme alineje prvega odstavka 22. člena te uredbe,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fotokopijo računa, ki se neposredno nanaša na celotni skupni strošek, če gre za zahtevke iz šestega odstavka 22. člena te uredbe, podjetje, na katerega se glasi račun za celotni skupni strošek, pa mora predložiti tudi seznam vseh podjetij, ki jim je izstavilo račun za plačilo njihovega dela stroškov, z zneski teh računov,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fotokopije plačanih letalskih vozovnic oziroma plačanih elektronskih letalskih vozovnic,</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fotografijo razstavnega prostora, s katere je razvidna enotna podoba,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originalno dokazilo pristojnega davčnega organa, da ima upravičenec poravnane vse obveznosti iz naslova davkov in drugih obveznih dajatev, ki ni starejše od 30 dni od datuma vložitve zahtevka, ali pisno dovoljenje upravičenca, da lahko agencija neposredno od pristojnega davčnega organa pridobi podatke, ali ima upravičenec poravnane obveznosti iz naslova davkov in drugih obveznih dajatev, ki se priloži na obrazcu, ki ga agencija objavi na svojih spletnih straneh. Agencija je dolžna ravnati s podatki, ki so davčna tajnost, v skladu z zakonom, ki ureja davčni postopek.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dokazilo o udeležbi upravičenca iz prvega odstavka 23. člena te uredbe ali oseb, za katere se uveljavljajo stroški, na sejmu, pri promocijskih dejavnostih ali izobraževanju,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kopijo tržne raziskave, če gre za upravičene stroške iz tretje alineje drugega odstavka 22. člena te uredbe,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poročilo izvajalca o svetovanju, če gre za upravičene stroške iz tretjega odstavka 22. člena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Ne glede na določbe prejšnjega odstavka se pomoč za povrnitev stroškov iz šeste in sedme alineje prvega odstavka 22. člena te uredbe dodeli na podlagi upravičenčevega obračuna teh stroškov, ki se morajo ujemati z dokazili o udeležbi na sejmu, kot so dokazila o prevoznih stroških, namestitvi in podobno.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Če upravičenec vnaprej plača del ali celotne stroške iz prvega do četrtega odstavka 22. člena te uredbe, se morajo dokazila predložiti v prvem naslednjem s to uredbo predpisanem roku za vložitev zahtevka, potem ko je bila udeležba na sejmu ali promocijska dejavnost dejansko izvedena.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Pri izračunu zahtevka iz prvega odstavka tega člena upravičenec upošteva sredstva, porabljena za posamezne upravičene stroške iz prvega do četrtega odstavka 22. člena te uredbe, in največji delež sofinanciranja iz tretjega odstavka 24. člena te uredbe.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(odločitev o zahtevkih)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 zahtevku, priznanju posameznih stroškov in višini pomoči odloči agencija v skladu z zakonom, ki ureja kmetijstvo.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Dejanski delež pomoči se določi na naslednji način: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je skupna vrednost najvišje možne pomoči, izračunane iz vloženih zahtevkov z upoštevanjem največjih deležev sofinanciranja iz tretjega odstavka 24. člena te uredbe, nižja ali enaka skupni višini razpoložljivih sredstev, se pri izračunu dejanske višine pomoči upoštevata največja deleža sofinanciranja, določena v tretjem odstavku 24. člena te uredbe;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skupna vrednost najvišje možne pomoči, izračunane iz vloženih zahtevkov z upoštevanjem največjih deležev sofinanciranja iz tretjega odstavka 24. člena te uredbe, presega razpoložljiva sredstva, se pri izračunu dejanske višine pomoči za sodelovanje na sejmih, objave v medijih, predstavitev vin in izobraževanje upošteva delež sofinanciranja iz tretjega odstavka 24. člena te uredbe, delež sofinanciranja pomoči za tržne raziskave in svetovanje pa se vsem upravičencem sorazmerno zniža glede na razpoložljiva sredstva;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skupna vrednost najvišje možne pomoči, izračunane iz vloženih zahtevkov za pomoč za sodelovanje na sejmih, objave v medijih, predstavitev vin in izobraževanje z upoštevanjem največjih deležev sofinanciranja iz tretjega odstavka 24. člena te uredbe, presega razpoložljiva sredstva, se pomoč za tržne raziskave in svetovanje ne dodeli, pri izračunu dejanske višine pomoči za sodelovanje na sejmih se upošteva delež sofinanciranja iz tretjega odstavka 24. člena te uredbe, delež sofinanciranja pomoči za objave v medijih, predstavitev vin in izobraževanje pa se zniža sorazmerno glede na razpoložljiva sredstva;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skupna vrednost najvišje možne pomoči, izračunane iz vloženih zahtevkov za pomoč za sodelovanje na sejmih z upoštevanjem največjih deležev sofinanciranja iz tretjega odstavka 24. člena te uredbe, presega razpoložljiva sredstva, se pomoči za objave v medijih, predstavitev vin, izobraževanje, tržne raziskave in svetovanje ne dodelijo, delež sofinanciranja pomoči za sodelovanje na sejmih pa se zniža sorazmerno glede na razpoložljiva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bi bila pri posameznem upravičencu zaradi deleža sofinanciranja, izračunanega v skladu s prejšnjim odstavkom, presežena meja iz drugega odstavka 24. člena te uredbe, se dejanski delež sofinanciranja za tega upravičenca izračuna posebej, tako da ne presega te meje, kar se upošteva pri izračunu dejanskega deleža sofinanciranja za druge upravičence, ki se izračuna skladno s prejšnjim odstavkom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se na podlagi pritožbe v zvezi z odločitvijo iz prvega odstavka tega člena upravičencu pozneje odobri zahtevek ali del zahtevka, mora biti delež sofinanciranja enak, kot je bil za posamezno pomoč določen za zadevno leto, v katerem je bil vložen zahtevek, na katerega se nanaša pritožba.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Sredstva za pomoč iz tega poglavja zagotovi ministrstvo v okviru podpor dejavnostim vinogradniško-vinarskega sektorja do višine s proračunom Republike Slovenije zagotovljenih sredstev za ta namen v posameznem proračunskem letu.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Sredstva iz tega poglavja se dodelijo v obliki nepovratnih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Upravičenci lahko pridobijo sredstva za isti strošek samo enkrat. Do sredstev ni upravičen tisti, ki je za stroške, ki jih navaja v vlogi za pridobitev pomoči po tej uredbi, že prejel sredstva Republike Slovenije ali Evropske unije.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Upravičenec, pri katerem se ugotovi, da je pomoč iz tega poglavja pridobil nezakonito oziroma nenamensko, da ni upošteval določb iz te uredbe oziroma je dal lažno izjavo oziroma lažna dokazila ali je ravnal v nasprotju z dano izjavo, mora v proračun Republike Slovenije vrniti vsa nezakonito oziroma nenamensko pridobljena sredstva skupaj z zakonitimi zamudnimi obrestmi, ki tečejo od dneva izplačila pomoči.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Upravičenec iz prejšnjega odstavka ne more pridobiti nove pomoči iz tega poglavja dve leti od dokončnosti odločbe o vračilu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O vračilu sredstev iz tega člena odloči agencija.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(kontrola)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Agencija opravlja administrativno preverjanje in po potrebi tudi preverjanje oziroma pregled na kraju samem glede resničnosti navedb v vlogi za pridobitev pomoči, izpolnjevanja pogojev za dodelitev pomoči in dokazil o stroških. Agencija hrani evidence o dodeljeni pomoči deset let od datuma dodelitve pomoči.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Upravičenec mora hraniti izvirne račune in drugo dokumentacijo v zvezi z izvedenimi dejavnostmi še najmanj pet let po izplačilu sredstev.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(poročanje)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Poročilo o višini dodeljenih in o višini izplačanih sredstev po upravičencih in namenih pomoči mora agencija posredovati ministrstvu v 60 dneh po izdaji odločb o dodelitvi sredstev in 30 dneh po izplačilu upravičencem.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(2) Agencija mora na ministrstvu, pristojnem za finance, preveriti podatke o dodeljenih pomočeh </w:t>
      </w:r>
      <w:r>
        <w:rPr>
          <w:rFonts w:ascii="Arial" w:eastAsia="Arial" w:hAnsi="Arial" w:cs="Arial"/>
          <w:i/>
          <w:iCs/>
          <w:sz w:val="21"/>
          <w:szCs w:val="21"/>
        </w:rPr>
        <w:t>de minimis</w:t>
      </w:r>
      <w:r>
        <w:rPr>
          <w:rFonts w:ascii="Arial" w:eastAsia="Arial" w:hAnsi="Arial" w:cs="Arial"/>
          <w:sz w:val="21"/>
          <w:szCs w:val="21"/>
        </w:rPr>
        <w:t xml:space="preserve"> posameznemu upravičencu zaradi izpolnjevanja pogojev iz 6. člena Uredbe 1407/2013/EU in jim posredovati podatke o pomoči </w:t>
      </w:r>
      <w:r>
        <w:rPr>
          <w:rFonts w:ascii="Arial" w:eastAsia="Arial" w:hAnsi="Arial" w:cs="Arial"/>
          <w:i/>
          <w:iCs/>
          <w:sz w:val="21"/>
          <w:szCs w:val="21"/>
        </w:rPr>
        <w:t>de minimis</w:t>
      </w:r>
      <w:r>
        <w:rPr>
          <w:rFonts w:ascii="Arial" w:eastAsia="Arial" w:hAnsi="Arial" w:cs="Arial"/>
          <w:sz w:val="21"/>
          <w:szCs w:val="21"/>
        </w:rPr>
        <w:t xml:space="preserve">, ki jih dodeli na podlagi te uredbe. Agencija pisno obvesti prejemnika sredstev, da je dobil pomoč po pravilu </w:t>
      </w:r>
      <w:r>
        <w:rPr>
          <w:rFonts w:ascii="Arial" w:eastAsia="Arial" w:hAnsi="Arial" w:cs="Arial"/>
          <w:i/>
          <w:iCs/>
          <w:sz w:val="21"/>
          <w:szCs w:val="21"/>
        </w:rPr>
        <w:t>de minimis</w:t>
      </w:r>
      <w:r>
        <w:rPr>
          <w:rFonts w:ascii="Arial" w:eastAsia="Arial" w:hAnsi="Arial" w:cs="Arial"/>
          <w:sz w:val="21"/>
          <w:szCs w:val="21"/>
        </w:rPr>
        <w:t>.</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 poglavje: ORGANIZACIJE PROIZVAJALCEV VINA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(priznavanje organizacij proizvajalcev)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Ministrstvo na pobudo pridelovalcev kot organizacijo proizvajalcev vina (v nadaljnjem besedilu: organizacija proizvajalcev) prizna pravno osebo, ki ima sedež v Republiki Sloveniji in izpolnjuje pogoje, predpisane z Uredbo 1308/2013/EU in s to uredbo.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(dokazila za priznanje)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Vlogi iz prejšnjega člena morajo biti priloženi: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seznam članov organizacije proizvajalcev s številkami vpisa v register,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identifikacijski podatki pravne osebe, ki namerava biti priznana kot organizacija proizvajalcev, in opredelitev pravne oblike organizacije proizvajalcev,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statut in drugi akti, ki urejajo pravila delovanja organizacije proizvajalcev,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seznam ciljev, ki jih želi doseči organizacija proizvajalcev z opisom njihovega uresničevanja, med katerimi mora biti najmanj eden od ciljev iz točke (c) prvega odstavka 152. člena Uredbe 1308/2013/EU,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opis stanja glede zaposlenih in tehničnih sredstev, s katerimi razpolaga organizacija proizvajalcev in so na voljo za zagotavljanje tehnične pomoči članom, ki je potrebna za okolju prijazne načine pridelave, za uresničevanje ciljev organizacije proizvajalcev ter trajno in učinkovito opravljanje njenih dejavnosti, vključno s koncentracijo ponudbe (navedba zasedenih delovnih mest in delovnih nalog, število zaposlenih in njihova usposobljenost, seznam tehničnih sredstev, vključno z objekti).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(članstvo v organizaciji proizvajalcev)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Član organizacije proizvajalcev je lahko le tisti pridelovalec, ki je vpisan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Pridelovalec je lahko član organizacije proizvajalcev le z vsemi vinogradi, ki se obdelujejo v okviru njegovega kmetijskega gospodarstva, in s celotno pridelavo vinskega grozdja, mošta oziroma vina s tega kmetijskega gospodarstva.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Pridelovalec je lahko član samo ene organizacije proizvajalcev, ki je priznana v skladu s to uredbo, o čemer mora predložiti izjavo svoji organizaciji proizvajalcev. Tako izjavo mora organizacija proizvajalcev hraniti še pet let po prenehanju članstva.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Organizacija proizvajalcev, ki je priznana v skladu s to uredbo, ne more biti član druge, v skladu s to uredbo priznane organizacije proizvajalcev.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Članstvo v organizaciji proizvajalcev je prostovoljno in ne more biti krajše od enega leta, odpovedni rok za izstop pa mora biti določen tako, da ne ovira njenega poslovanja.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 za priznanje)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Organizacija proizvajalcev mora za priznanje, poleg pogojev iz prejšnjega člena in pogojev iz Uredbe 1308/2013/EU, izpolnjevati še naslednje pogoje: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imeti mora najmanj pet članov in skupaj s svojimi člani najmanj 15 ha vinogradov, vpisanih v register,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imeti mora letno tržno proizvodnjo najmanj 75 000 litrov vina, namenjenega prodaji, ki ga pridela sama organizacija proizvajalcev oziroma njeni člani, pri čemer se upošteva članstvo ob zaključku leta, v postopku priznanja organizacije proizvajalcev pa ob oddaji vloge za priznanje,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 sme biti v stečajnem postopku, postopku likvidacije oziroma postopku prisilne poravnave,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svojim članom mora omogočati, da so deležni tehnične pomoči pri uporabi okolju prijaznih postopkov pridelave,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imeti mora pravila delovanja, ki izkazujejo trajnost in uspešnost poslovanja organizacije proizvajalcev,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imeti mora na voljo osebje, infrastrukturo in opremo za ustrezno trajno in učinkovito opravljanje svojih dejavnosti.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Kot letna količina tržne proizvodnje iz prejšnjega odstavka se šteje prijavljena količina pridelanega vina v zadevnem letu, vpisana v register, ki ni namenjena za lastno porabo, pri čemer se uporabljajo določbe iz predpisa, ki ureja prijavo pridelka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Količina letne tržne proizvodnje vina je lahko manjša od predpisane meje iz druge alineje prvega odstavka tega člena, če je to zmanjšanje posledica škode zaradi naravne nesreče, ki jo prizna pristojna komisija Uprave Republike Slovenije za zaščito in reševanje, v skladu s predpisi, ki urejajo ocenjevanje škode zaradi naravne nesreče, ali zavarovalnica in bi bila letna tržna proizvodnja vina, če te škode zaradi naravne nesreče ne bi bilo, nad predpisano mejo. Pri izračunu pridelka, ki bi bil dosežen, če škode zaradi naravne nesreče ne bi bilo, se upošteva izpad pridelka, ocenjen na podlagi ugotovljene škode zaradi naravne nesreče in dejansko doseženega pridelka, oziroma če tega ni, povprečni letni pridelek vina v zadevnem letu v Republiki Sloveniji iz registra.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Pri izračunu minimalnega števila članov iz prve alineje prvega odstavka tega člena se pravna oseba, ki je sama priznana kot organizacija proizvajalcev, ne upošteva.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Pri izračunu minimalnega števila članov iz prvega odstavka tega člena se z istega kmetijskega gospodarstva upošteva le en član organizacije proizvajalcev.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Pri izračunu minimalnega obsega površin in tržne proizvodnje iz prvega odstavka tega člena se lahko upoštevajo tudi površine, ki jih ima v lasti ali najemu pravna oseba, priznana kot organizacija proizvajalcev, in količine, ki jih pridela na teh površinah.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Organizacija proizvajalcev mora v 30 dneh sporočiti na ministrstvo vsako spremembo, ki vpliva na izpolnjevanje pogojev za priznanje organizacije proizvajalcev. Če spremembe ne vplivajo na izpolnjevanje pogojev za priznanje organizacije proizvajalcev, te spremembe sporoči v poročilu iz 35. člena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Ne glede na določbo prve alineje prvega odstavka tega člena ima organizacija proizvajalcev po priznanju izjemoma lahko najmanj štiri člane, če je to posledica začasnih sprememb v članstvu in če tako stanje ne traja nepretrgoma dlje kot štiri mesece, skupaj s svojimi člani pa mora imeti ob zaključku vsakega leta najmanj 15 ha vinogradov vpisanih v register.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(poročanje)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Organizacija proizvajalcev mora vsako leto do 31. marca predložiti na ministrstvo poročilo o njenem delovanju, ki vsebuje najmanj naslednje podatke: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navedbo dejavnosti, ki so v zvezi z uresničevanjem ciljev organizacije proizvajalcev,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navedbo aktivnosti oziroma storitev, ki jih je organizacija proizvajalcev opravljala za svoje člane,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navedbo aktivnosti v zvezi s koncentracijo ponudbe,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opis vključenosti osebja in tehničnih sredstev v dejavnosti organizacije proizvajalcev,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opis in časovni pregled realizacije ciljev organizacije proizvajalcev, ki obsega zlasti izvedene ukrepe in aktivnosti ter opis učinkov in doseženih rezultatov,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podatke o realizirani prodaji vina na domačih in tujih trgih preko organizacije proizvajalcev oziroma njenih članov.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Ministrstvo na svojih spletnih straneh objavi obrazce za poročilo iz prejšnjega odstavka in navodila za njihovo izpolnjevanje, ki se lahko smiselno uporabljajo za pripravo vsebin poročila.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ministrstvo na podlagi poročila iz tega člena ugotavlja, da cilji organizacije proizvajalcev ne bodo doseženi ali da se njenim članom ne omogoča tehnična pomoč pri uporabi okolju prijaznih postopkov pridelave, pozove organizacijo proizvajalcev, da sprejme ustrezne ukrepe. Ob napakah ali pomanjkljivostih poročila ministrstvo pozove organizacijo proizvajalcev k popravku ali odpravi pomanjkljivosti.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(odvzem priznanja organizaciji proizvajalcev)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Minister, pristojen za kmetijstvo, odvzame priznanje organizaciji proizvajalcev v naslednjih primerih: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zamudi s pošiljanjem poročila za več kakor 30 dni,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niso več izpolnjeni pogoji za priznanje iz 34. člena te uredbe,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se pravila delovanja organizacije proizvajalcev tako spremenijo, da ne opravlja več nalog, za katere je ustanovljena,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ne omogoči pregleda na kraju samem iz 37. člena te uredbe,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napake ali pomanjkljivosti poročila tudi po popravku iz prejšnjega člena niso bile odpravljene,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zahtevo organizacije proizvajalcev.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Organizacija proizvajalcev, ki ji je bilo odvzeto priznanje, ne more biti ponovno priznana v enem letu od dokončnosti odločbe o odvzemu priznanja.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(nadzor)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Ministrstvo lahko pri organizaciji proizvajalcev kadar koli opravi administrativni pregled oziroma pregled na kraju samem.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Organizacija proizvajalcev mora omogočiti pregled na kraju samem in vpogled v zahtevano dokumentacijo iz tretjega odstavka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Organizacija proizvajalcev mora hraniti dokumentacijo v zvezi s svojim članstvom, uresničevanjem ciljev, omogočanjem članom, da so deležni pomoči, potrebne za okolju prijazne načine pridelave, ter statut in druge akte, ki urejajo pravila organizacije proizvajalcev, še najmanj pet let po odvzemu priznanja.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(seznam organizacij proizvajalcev)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podlagi odločb o priznanju organizacij proizvajalcev vodi ministrstvo seznam organizacij proizvajalcev s podatki v skladu z zakonom, ki ureja kmetijstvo, in ga objavi na spletni strani ministrstva.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 poglavje: SKUPNE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(letna pridelava vina)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določitev povprečne letne v register prijavljene količine vina iz petega odstavka 11. člena ter tretje alineje točke b) prvega odstavka 23. člena te uredbe se ne upošteva leto, v katerem je pridelovalec utrpel škodo zaradi naravne nesreče, če je ta vplivala na količino pridelka grozdja in vina. Pridelovalec, ki je utrpel škodo zaradi naravne nesreče, mora ob oddaji zahtevka ali vloge za podporo priložiti oceno škode pristojne komisije Uprave Republike Slovenije za zaščito in reševanje, izdelano v skladu s predpisi, ki urejajo ocenjevanje škode zaradi naravne nesreče, ali uradni dokument zavarovalnice, iz katerega je razvidna ocena škode.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bil pridelovalec vpisan v register manj kot tri leta pred uveljavljanjem podpor iz te uredbe, vendar ima prijavljen pridelek v letu pred uveljavljanjem podpore, se za določitev količine povprečne letne v register prijavljene količine vina iz petega odstavka 11. člena in tretje alineje točke b) prvega odstavka 23. člena ter vrednosti izpada dohodka iz 10. člena te uredbe upošteva le povprečje let, ko je pridelovalec vpisan v register.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(prijava cen in prodanih količin)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Prejemniki podpore za promocijo vina na trgih tretjih držav iz 2. točke II. poglavja in podpore vinarskemu sektorju za sejemske in promocijske dejavnosti na ciljnih trgih iz III. poglavja te uredbe morajo agenciji prijaviti cene in prodane količine vina v skladu s predpisom, ki ureja register, ne glede na letno pridelano količino vina.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Prejemniki podpore za promocijo vina na trgih tretjih držav iz 2. točke II. poglavja te uredbe morajo cene in prodane količine vina prvič prijaviti do 10. oktobra v letu prejema podpore. Prejemniki podpore vinarskemu sektorju za sejemske in promocijske dejavnosti na ciljnih trgih iz III. poglavja te uredbe pa morajo cene in prodane količine vina prvič prijaviti do 10. januarja v letu, ki sledi letu prejema podpore. Cene in prodane količine vina so dolžni prejemniki podpore za promocijo vina na trgih tretjih držav in prejemniki podpore vinarskemu sektorju za sejemske in promocijske dejavnosti na ciljnih trgih prijavljati še tri leta po zadnjem prejemu podpore.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p"/>
        <w:spacing w:before="210" w:after="210"/>
        <w:ind w:left="0" w:right="0"/>
        <w:rPr>
          <w:rFonts w:ascii="Arial" w:eastAsia="Arial" w:hAnsi="Arial" w:cs="Arial"/>
          <w:sz w:val="21"/>
          <w:szCs w:val="21"/>
        </w:rPr>
      </w:pPr>
      <w:r>
        <w:pict>
          <v:rect id="_x0000_i1025" style="width:283.5pt;height:1.5pt" o:hrpct="0" o:hralign="center" o:hrstd="t" o:hrnoshade="t" o:hr="t" filled="t" fillcolor="gray" stroked="f">
            <v:path strokeok="f"/>
          </v:rect>
        </w:pict>
      </w:r>
    </w:p>
    <w:p>
      <w:pPr>
        <w:pStyle w:val="priloga"/>
        <w:spacing w:before="210" w:after="210"/>
        <w:ind w:left="0" w:right="0"/>
        <w:rPr>
          <w:rFonts w:ascii="Arial" w:eastAsia="Arial" w:hAnsi="Arial" w:cs="Arial"/>
          <w:sz w:val="21"/>
          <w:szCs w:val="21"/>
        </w:rPr>
      </w:pPr>
      <w:r>
        <w:rPr>
          <w:rFonts w:ascii="Arial" w:eastAsia="Arial" w:hAnsi="Arial" w:cs="Arial"/>
          <w:sz w:val="21"/>
          <w:szCs w:val="21"/>
        </w:rPr>
        <w:t xml:space="preserve">Priloga 1: ( </w:t>
      </w:r>
      <w:hyperlink r:id="rId4" w:anchor="33.%20člen" w:history="1">
        <w:r>
          <w:rPr>
            <w:rFonts w:ascii="Arial" w:eastAsia="Arial" w:hAnsi="Arial" w:cs="Arial"/>
            <w:color w:val="0000EE"/>
            <w:sz w:val="21"/>
            <w:szCs w:val="21"/>
            <w:u w:val="single" w:color="0000EE"/>
          </w:rPr>
          <w:t>prenehala veljati</w:t>
        </w:r>
      </w:hyperlink>
      <w:r>
        <w:rPr>
          <w:rFonts w:ascii="Arial" w:eastAsia="Arial" w:hAnsi="Arial" w:cs="Arial"/>
          <w:sz w:val="21"/>
          <w:szCs w:val="21"/>
        </w:rPr>
        <w:t>)</w:t>
      </w:r>
    </w:p>
    <w:p>
      <w:pPr>
        <w:pStyle w:val="priloga"/>
        <w:spacing w:before="210" w:after="210"/>
        <w:ind w:left="0" w:right="0"/>
        <w:rPr>
          <w:rFonts w:ascii="Arial" w:eastAsia="Arial" w:hAnsi="Arial" w:cs="Arial"/>
          <w:sz w:val="21"/>
          <w:szCs w:val="21"/>
        </w:rPr>
      </w:pPr>
      <w:r>
        <w:rPr>
          <w:rFonts w:ascii="Arial" w:eastAsia="Arial" w:hAnsi="Arial" w:cs="Arial"/>
          <w:sz w:val="21"/>
          <w:szCs w:val="21"/>
        </w:rPr>
        <w:t xml:space="preserve">Priloga 2: ( </w:t>
      </w:r>
      <w:hyperlink r:id="rId4" w:anchor="33.%20člen" w:history="1">
        <w:r>
          <w:rPr>
            <w:rFonts w:ascii="Arial" w:eastAsia="Arial" w:hAnsi="Arial" w:cs="Arial"/>
            <w:color w:val="0000EE"/>
            <w:sz w:val="21"/>
            <w:szCs w:val="21"/>
            <w:u w:val="single" w:color="0000EE"/>
          </w:rPr>
          <w:t>prenehala veljati</w:t>
        </w:r>
      </w:hyperlink>
      <w:r>
        <w:rPr>
          <w:rFonts w:ascii="Arial" w:eastAsia="Arial" w:hAnsi="Arial" w:cs="Arial"/>
          <w:sz w:val="21"/>
          <w:szCs w:val="21"/>
        </w:rPr>
        <w:t>)</w:t>
      </w:r>
    </w:p>
    <w:p>
      <w:pPr>
        <w:pStyle w:val="priloga"/>
        <w:spacing w:before="210" w:after="210"/>
        <w:ind w:left="0" w:right="0"/>
        <w:rPr>
          <w:rFonts w:ascii="Arial" w:eastAsia="Arial" w:hAnsi="Arial" w:cs="Arial"/>
          <w:sz w:val="21"/>
          <w:szCs w:val="21"/>
        </w:rPr>
      </w:pPr>
      <w:r>
        <w:rPr>
          <w:rFonts w:ascii="Arial" w:eastAsia="Arial" w:hAnsi="Arial" w:cs="Arial"/>
          <w:sz w:val="21"/>
          <w:szCs w:val="21"/>
        </w:rPr>
        <w:t xml:space="preserve">Priloga 3: ( </w:t>
      </w:r>
      <w:hyperlink r:id="rId4" w:anchor="33.%20člen" w:history="1">
        <w:r>
          <w:rPr>
            <w:rFonts w:ascii="Arial" w:eastAsia="Arial" w:hAnsi="Arial" w:cs="Arial"/>
            <w:color w:val="0000EE"/>
            <w:sz w:val="21"/>
            <w:szCs w:val="21"/>
            <w:u w:val="single" w:color="0000EE"/>
          </w:rPr>
          <w:t>prenehala veljati</w:t>
        </w:r>
      </w:hyperlink>
      <w:r>
        <w:rPr>
          <w:rFonts w:ascii="Arial" w:eastAsia="Arial" w:hAnsi="Arial" w:cs="Arial"/>
          <w:sz w:val="21"/>
          <w:szCs w:val="21"/>
        </w:rPr>
        <w:t>)</w:t>
      </w:r>
    </w:p>
    <w:p>
      <w:pPr>
        <w:pStyle w:val="priloga"/>
        <w:spacing w:before="210" w:after="210"/>
        <w:ind w:left="0" w:right="0"/>
        <w:rPr>
          <w:rFonts w:ascii="Arial" w:eastAsia="Arial" w:hAnsi="Arial" w:cs="Arial"/>
          <w:sz w:val="21"/>
          <w:szCs w:val="21"/>
        </w:rPr>
      </w:pPr>
      <w:r>
        <w:rPr>
          <w:rFonts w:ascii="Arial" w:eastAsia="Arial" w:hAnsi="Arial" w:cs="Arial"/>
          <w:sz w:val="21"/>
          <w:szCs w:val="21"/>
        </w:rPr>
        <w:t xml:space="preserve">Priloga 4: ( </w:t>
      </w:r>
      <w:hyperlink r:id="rId4" w:anchor="33.%20člen" w:history="1">
        <w:r>
          <w:rPr>
            <w:rFonts w:ascii="Arial" w:eastAsia="Arial" w:hAnsi="Arial" w:cs="Arial"/>
            <w:color w:val="0000EE"/>
            <w:sz w:val="21"/>
            <w:szCs w:val="21"/>
            <w:u w:val="single" w:color="0000EE"/>
          </w:rPr>
          <w:t>prenehala veljati</w:t>
        </w:r>
      </w:hyperlink>
      <w:r>
        <w:rPr>
          <w:rFonts w:ascii="Arial" w:eastAsia="Arial" w:hAnsi="Arial" w:cs="Arial"/>
          <w:sz w:val="21"/>
          <w:szCs w:val="21"/>
        </w:rPr>
        <w:t>)</w:t>
      </w:r>
    </w:p>
    <w:p>
      <w:pPr>
        <w:pStyle w:val="priloga"/>
        <w:spacing w:before="210" w:after="210"/>
        <w:ind w:left="0" w:right="0"/>
        <w:rPr>
          <w:rFonts w:ascii="Arial" w:eastAsia="Arial" w:hAnsi="Arial" w:cs="Arial"/>
          <w:sz w:val="21"/>
          <w:szCs w:val="21"/>
        </w:rPr>
      </w:pPr>
      <w:r>
        <w:rPr>
          <w:rFonts w:ascii="Arial" w:eastAsia="Arial" w:hAnsi="Arial" w:cs="Arial"/>
          <w:sz w:val="21"/>
          <w:szCs w:val="21"/>
        </w:rPr>
        <w:t>Priloga 5: (črtana)</w:t>
      </w:r>
    </w:p>
    <w:p>
      <w:pPr>
        <w:pStyle w:val="priloga"/>
        <w:spacing w:before="210" w:after="210"/>
        <w:ind w:left="0" w:right="0"/>
        <w:rPr>
          <w:rFonts w:ascii="Arial" w:eastAsia="Arial" w:hAnsi="Arial" w:cs="Arial"/>
          <w:sz w:val="21"/>
          <w:szCs w:val="21"/>
        </w:rPr>
      </w:pPr>
      <w:hyperlink r:id="rId5" w:tgtFrame="_blank" w:history="1">
        <w:r>
          <w:rPr>
            <w:rFonts w:ascii="Arial" w:eastAsia="Arial" w:hAnsi="Arial" w:cs="Arial"/>
            <w:color w:val="0000EE"/>
            <w:sz w:val="22"/>
            <w:szCs w:val="22"/>
            <w:u w:val="single" w:color="0000EE"/>
          </w:rPr>
          <w:t>Priloga 6: Zahtevek za dodelitev podpore vinarskemu sektorju za sejemske in promocijske dejavnosti na ciljnih trgih</w:t>
        </w:r>
      </w:hyperlink>
    </w:p>
    <w:p>
      <w:pPr>
        <w:pStyle w:val="priloga"/>
        <w:spacing w:before="210" w:after="210"/>
        <w:ind w:left="0" w:right="0"/>
        <w:rPr>
          <w:rFonts w:ascii="Arial" w:eastAsia="Arial" w:hAnsi="Arial" w:cs="Arial"/>
          <w:sz w:val="21"/>
          <w:szCs w:val="21"/>
        </w:rPr>
      </w:pPr>
      <w:hyperlink r:id="rId6" w:tgtFrame="_blank" w:history="1">
        <w:r>
          <w:rPr>
            <w:rFonts w:ascii="Arial" w:eastAsia="Arial" w:hAnsi="Arial" w:cs="Arial"/>
            <w:color w:val="0000EE"/>
            <w:sz w:val="22"/>
            <w:szCs w:val="22"/>
            <w:u w:val="single" w:color="0000EE"/>
          </w:rPr>
          <w:t>Priloga 7: Izjava vlagatelja v zvezi z zahtevkom za dodelitev podpore vinarskemu sektorju za sejemske in promocijske dejavnosti na ciljnih trgih</w:t>
        </w:r>
      </w:hyperlink>
    </w:p>
    <w:p>
      <w:pPr>
        <w:pStyle w:val="priloga"/>
        <w:spacing w:before="210" w:after="210"/>
        <w:ind w:left="0" w:right="0"/>
        <w:rPr>
          <w:rFonts w:ascii="Arial" w:eastAsia="Arial" w:hAnsi="Arial" w:cs="Arial"/>
          <w:sz w:val="21"/>
          <w:szCs w:val="21"/>
        </w:rPr>
      </w:pPr>
      <w:hyperlink r:id="rId7" w:tgtFrame="_blank" w:history="1">
        <w:r>
          <w:rPr>
            <w:rFonts w:ascii="Arial" w:eastAsia="Arial" w:hAnsi="Arial" w:cs="Arial"/>
            <w:color w:val="0000EE"/>
            <w:sz w:val="21"/>
            <w:szCs w:val="21"/>
            <w:u w:val="single" w:color="0000EE"/>
          </w:rPr>
          <w:t>Priloga 8: Izjava vlagatelja glede enotnega podjetja</w:t>
        </w:r>
      </w:hyperlink>
    </w:p>
    <w:p>
      <w:pPr>
        <w:pStyle w:val="priloga"/>
        <w:spacing w:before="210" w:after="210"/>
        <w:ind w:left="0" w:right="0"/>
        <w:rPr>
          <w:rFonts w:ascii="Arial" w:eastAsia="Arial" w:hAnsi="Arial" w:cs="Arial"/>
          <w:sz w:val="21"/>
          <w:szCs w:val="21"/>
        </w:rPr>
      </w:pPr>
      <w:hyperlink r:id="rId8" w:tgtFrame="_blank" w:history="1">
        <w:r>
          <w:rPr>
            <w:rFonts w:ascii="Arial" w:eastAsia="Arial" w:hAnsi="Arial" w:cs="Arial"/>
            <w:color w:val="0000EE"/>
            <w:sz w:val="22"/>
            <w:szCs w:val="22"/>
            <w:u w:val="single" w:color="0000EE"/>
          </w:rPr>
          <w:t>Priloga 9: Izjava vlagatelja o družbenikih</w:t>
        </w:r>
      </w:hyperlink>
    </w:p>
    <w:p>
      <w:pPr>
        <w:pStyle w:val="p"/>
        <w:spacing w:before="210" w:after="210"/>
        <w:ind w:left="0" w:right="0"/>
        <w:rPr>
          <w:rFonts w:ascii="Arial" w:eastAsia="Arial" w:hAnsi="Arial" w:cs="Arial"/>
          <w:sz w:val="21"/>
          <w:szCs w:val="21"/>
        </w:rPr>
      </w:pPr>
      <w:r>
        <w:pict>
          <v:rect id="_x0000_i1026" style="width:57pt;height:1.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rPr>
        <w:t xml:space="preserve">Uredba o ureditvi trga z vinom (Uradni list RS, št. </w:t>
      </w:r>
      <w:hyperlink r:id="rId9" w:history="1">
        <w:r>
          <w:rPr>
            <w:rFonts w:ascii="Arial" w:eastAsia="Arial" w:hAnsi="Arial" w:cs="Arial"/>
            <w:b w:val="0"/>
            <w:bCs w:val="0"/>
            <w:color w:val="0000EE"/>
            <w:u w:val="single" w:color="0000EE"/>
          </w:rPr>
          <w:t>6/12</w:t>
        </w:r>
      </w:hyperlink>
      <w:r>
        <w:rPr>
          <w:rFonts w:ascii="Arial" w:eastAsia="Arial" w:hAnsi="Arial" w:cs="Arial"/>
        </w:rPr>
        <w:t>) vsebuje naslednje prehodne in končne določbe: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 poglavje: PREHODNE IN KONČNE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(vloge za podporo prestrukturiranju)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Vloge za podporo za prestrukturiranje, vložene na podlagi Uredbe o ureditvi trga z vinom (Uradni list RS, št. 69/08, 77/08, 27/09, 29/10 in 35/11), se obravnavajo v skladu s to uredbo.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(promocijske, izobraževalne in svetovalne dejavnosti)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Promocijske, izobraževalne in svetovalne dejavnosti, izvedene v skladu s III. poglavjem Uredbe o ureditvi trga z vinom (Uradni list RS, št. 69/08, 77/08, 27/09, 29/10 in 35/11) in za katere so dokazila izdana do 15. 2. 2012, se obravnavajo v skladu z določili Uredbe o ureditvi trga z vinom (Uradni list RS, št. 69/08, 77/08, 27/09, 29/10 in 35/11).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Sredstva za podporo dejavnostim iz prejšnjega odstavka se zagotovijo iz sredstev, namenjenih za podporo vinarskemu sektorju iz III. poglavja te uredbe za leto 2012. Če skupna vrednost zahtevkov za podporo dejavnostim iz prejšnjega odstavka in podporo vinarskemu sektorju iz III. poglavja te uredbe, za katere so dokazila izdana med 16. 2. in 31. 5. 2012, presega razpoložljiva sredstva za leto 2012,se delež sofinanciranja za dejavnosti iz prejšnjega odstavka določi po postopku iz 27. člena te uredbe, ki velja za sofinanciranje pomoči za objave v medijih in predstavitev vin.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(že priznane organizacije proizvajalcev)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Organizacije proizvajalcev, ki so ob uveljavitvi te uredbe že priznane, ostanejo priznane kot organizacije proizvajalcev in se šteje, da so priznane v skladu s to uredbo.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(prehodne določbe)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dnem uveljavitve te uredbe preneha veljati Uredba o ureditvi trga z vinom (Uradni list RS, št. 69/08, 77/08, 27/09, 29/10 in 35/11).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prejšnji odstavek se določbe 14. do 28. člena in priloge 1 do 5 Uredbe o ureditvi trga z vinom (Uradni list RS, št. 69/08, 77/08, 27/09, 29/10 in 35/11) uporabljajo za dejavnosti, za katere so bila dokazila izdana do 15. 2. 2012, določbe 31. in 34. člena Uredbe o ureditvi trga z vinom (Uradni list RS, št. 69/08, 77/08, 27/09, 29/10 in 35/11) pa se uporabljajo do 31. 7. 2012.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 dnem uveljavitve te uredbe preneha veljati Pravilnik o vsebini programov dela, spremembah programov dela in poročilih organizacij proizvajalcev vina (Uradni list RS, št. 9/09).</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veljavnosti)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uredba začne veljati naslednji dan po objavi v Uradnem listu Republike Slovenije.«.</w:t>
      </w:r>
    </w:p>
    <w:p>
      <w:pPr>
        <w:pStyle w:val="p"/>
        <w:spacing w:before="210" w:after="210"/>
        <w:ind w:left="0" w:right="0"/>
        <w:rPr>
          <w:rFonts w:ascii="Arial" w:eastAsia="Arial" w:hAnsi="Arial" w:cs="Arial"/>
          <w:sz w:val="21"/>
          <w:szCs w:val="21"/>
        </w:rPr>
      </w:pPr>
      <w:r>
        <w:pict>
          <v:rect id="_x0000_i1027" style="width:57pt;height:1.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rPr>
        <w:t xml:space="preserve">Uredba o spremembi Uredbe o ureditvi trga z vinom (Uradni list RS, št. </w:t>
      </w:r>
      <w:hyperlink r:id="rId10" w:history="1">
        <w:r>
          <w:rPr>
            <w:rFonts w:ascii="Arial" w:eastAsia="Arial" w:hAnsi="Arial" w:cs="Arial"/>
            <w:b w:val="0"/>
            <w:bCs w:val="0"/>
            <w:color w:val="0000EE"/>
            <w:u w:val="single" w:color="0000EE"/>
          </w:rPr>
          <w:t>38/12</w:t>
        </w:r>
      </w:hyperlink>
      <w:r>
        <w:rPr>
          <w:rFonts w:ascii="Arial" w:eastAsia="Arial" w:hAnsi="Arial" w:cs="Arial"/>
        </w:rPr>
        <w:t>) vsebuje naslednjo končno določbo:</w:t>
      </w:r>
    </w:p>
    <w:p>
      <w:pPr>
        <w:pStyle w:val="p"/>
        <w:spacing w:before="210" w:after="210"/>
        <w:ind w:left="0" w:right="0"/>
        <w:rPr>
          <w:rFonts w:ascii="Arial" w:eastAsia="Arial" w:hAnsi="Arial" w:cs="Arial"/>
          <w:sz w:val="21"/>
          <w:szCs w:val="21"/>
        </w:rPr>
      </w:pPr>
      <w:r>
        <w:rPr>
          <w:rFonts w:ascii="Arial" w:eastAsia="Arial" w:hAnsi="Arial" w:cs="Arial"/>
        </w:rPr>
        <w:t>»2.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uredba začne veljati naslednji dan po objavi v Uradnem listu Republike Slovenije.«.</w:t>
      </w:r>
    </w:p>
    <w:p>
      <w:pPr>
        <w:pStyle w:val="p"/>
        <w:spacing w:before="210" w:after="210"/>
        <w:ind w:left="0" w:right="0"/>
        <w:rPr>
          <w:rFonts w:ascii="Arial" w:eastAsia="Arial" w:hAnsi="Arial" w:cs="Arial"/>
          <w:sz w:val="21"/>
          <w:szCs w:val="21"/>
        </w:rPr>
      </w:pPr>
      <w:r>
        <w:pict>
          <v:rect id="_x0000_i1028" style="width:57pt;height:1.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rPr>
        <w:t xml:space="preserve">Uredba o spremembah in dopolnitvah Uredbe o ureditvi trga z vinom (Uradni list RS, št. </w:t>
      </w:r>
      <w:hyperlink r:id="rId11" w:history="1">
        <w:r>
          <w:rPr>
            <w:rFonts w:ascii="Arial" w:eastAsia="Arial" w:hAnsi="Arial" w:cs="Arial"/>
            <w:b w:val="0"/>
            <w:bCs w:val="0"/>
            <w:color w:val="0000EE"/>
            <w:u w:val="single" w:color="0000EE"/>
          </w:rPr>
          <w:t>24/13</w:t>
        </w:r>
      </w:hyperlink>
      <w:r>
        <w:rPr>
          <w:rFonts w:ascii="Arial" w:eastAsia="Arial" w:hAnsi="Arial" w:cs="Arial"/>
        </w:rPr>
        <w:t>) vsebuje naslednje prehodne in končno določbo: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»PREHODNE IN KONČNA DOLOČBA</w:t>
      </w:r>
    </w:p>
    <w:p>
      <w:pPr>
        <w:pStyle w:val="p"/>
        <w:spacing w:before="210" w:after="210"/>
        <w:ind w:left="0" w:right="0"/>
        <w:rPr>
          <w:rFonts w:ascii="Arial" w:eastAsia="Arial" w:hAnsi="Arial" w:cs="Arial"/>
          <w:sz w:val="21"/>
          <w:szCs w:val="21"/>
        </w:rPr>
      </w:pPr>
      <w:r>
        <w:rPr>
          <w:rFonts w:ascii="Arial" w:eastAsia="Arial" w:hAnsi="Arial" w:cs="Arial"/>
        </w:rPr>
        <w:t>11.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 glede na določbe prvega odstavka spremenjenega 12. člena uredbe se v letu 2013 programi za promocijo vina na trgih tretjih držav vložijo na agencijo najpozneje do 30. aprila 2013.</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Upravičenci, ki imajo odobrene programe promocije vina na trgih tretjih držav na podlagi Uredbe o ureditvi trga z vinom (Uradni list RS, št. 6/12 in 38/12), za uveljavitev podpore za promocijo vina v letu 2013 vložijo zahtevke v skladu z Uredbo o ureditvi trga z vinom (Uradni list RS, št. 6/12 in 38/12).</w:t>
      </w:r>
    </w:p>
    <w:p>
      <w:pPr>
        <w:pStyle w:val="p"/>
        <w:spacing w:before="210" w:after="210"/>
        <w:ind w:left="0" w:right="0"/>
        <w:rPr>
          <w:rFonts w:ascii="Arial" w:eastAsia="Arial" w:hAnsi="Arial" w:cs="Arial"/>
          <w:sz w:val="21"/>
          <w:szCs w:val="21"/>
        </w:rPr>
      </w:pPr>
      <w:r>
        <w:rPr>
          <w:rFonts w:ascii="Arial" w:eastAsia="Arial" w:hAnsi="Arial" w:cs="Arial"/>
        </w:rPr>
        <w:t>12.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člen in drugi odstavek 10. člena te uredbe se začneta uporabljati 1. januarja 2014.</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Spremenjeni prvi odstavek 21. člena uredbe se začne uporabljati 1. julija 2013.</w:t>
      </w:r>
    </w:p>
    <w:p>
      <w:pPr>
        <w:pStyle w:val="p"/>
        <w:spacing w:before="210" w:after="210"/>
        <w:ind w:left="0" w:right="0"/>
        <w:rPr>
          <w:rFonts w:ascii="Arial" w:eastAsia="Arial" w:hAnsi="Arial" w:cs="Arial"/>
          <w:sz w:val="21"/>
          <w:szCs w:val="21"/>
        </w:rPr>
      </w:pPr>
      <w:r>
        <w:rPr>
          <w:rFonts w:ascii="Arial" w:eastAsia="Arial" w:hAnsi="Arial" w:cs="Arial"/>
        </w:rPr>
        <w:t>13.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uredba začne veljati naslednji dan po objavi v Uradnem listu Republike Slovenije.«.</w:t>
      </w:r>
    </w:p>
    <w:p>
      <w:pPr>
        <w:pStyle w:val="p"/>
        <w:spacing w:before="210" w:after="210"/>
        <w:ind w:left="0" w:right="0"/>
        <w:rPr>
          <w:rFonts w:ascii="Arial" w:eastAsia="Arial" w:hAnsi="Arial" w:cs="Arial"/>
          <w:sz w:val="21"/>
          <w:szCs w:val="21"/>
        </w:rPr>
      </w:pPr>
      <w:r>
        <w:pict>
          <v:rect id="_x0000_i1029" style="width:57pt;height:1.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rPr>
        <w:t xml:space="preserve">Uredba o spremembah in dopolnitvah Uredbe o ureditvi trga z vinom (Uradni list RS, št. </w:t>
      </w:r>
      <w:hyperlink r:id="rId12" w:history="1">
        <w:r>
          <w:rPr>
            <w:rFonts w:ascii="Arial" w:eastAsia="Arial" w:hAnsi="Arial" w:cs="Arial"/>
            <w:b w:val="0"/>
            <w:bCs w:val="0"/>
            <w:color w:val="0000EE"/>
            <w:u w:val="single" w:color="0000EE"/>
          </w:rPr>
          <w:t>66/14</w:t>
        </w:r>
      </w:hyperlink>
      <w:r>
        <w:rPr>
          <w:rFonts w:ascii="Arial" w:eastAsia="Arial" w:hAnsi="Arial" w:cs="Arial"/>
        </w:rPr>
        <w:t>) vsebuje naslednjo prehodno in končno določbo: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»PREHODNA IN KONČNA DOLOČBA</w:t>
      </w:r>
    </w:p>
    <w:p>
      <w:pPr>
        <w:pStyle w:val="p"/>
        <w:spacing w:before="210" w:after="210"/>
        <w:ind w:left="0" w:right="0"/>
        <w:rPr>
          <w:rFonts w:ascii="Arial" w:eastAsia="Arial" w:hAnsi="Arial" w:cs="Arial"/>
          <w:sz w:val="21"/>
          <w:szCs w:val="21"/>
        </w:rPr>
      </w:pPr>
      <w:r>
        <w:rPr>
          <w:rFonts w:ascii="Arial" w:eastAsia="Arial" w:hAnsi="Arial" w:cs="Arial"/>
        </w:rPr>
        <w:t>20.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Postopki v zvezi z zahtevki, vloženimi na podlagi Uredbe o ureditvi trga z vinom (Uradni list RS, št. 6/12, 38/12 in 24/13), se končajo v skladu s to uredbo.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prejšnji odstavek se postopki v zvezi z zahtevki za podporo za promocijo vina na trgih tretjih držav, vloženimi na podlagi Uredbe o ureditvi trga z vinom (Uradni list RS, št. 6/12, 38/12 in 24/13), končajo v skladu z Uredbo o ureditvi trga z vinom (Uradni list RS, št. 6/12, 38/12 in 24/13).</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Agencija v desetih dneh od uveljavitve te uredbe vlagatelje zahtevkov za podporo vinarskemu sektorju za sejemske in promocijske dejavnosti na ciljnih trgih iz prvega odstavka tega člena pozove k dopolnitvi zahtevka z izjavama iz novih prilog 7 in 8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vlagatelj iz prejšnjega odstavka zahtevka ne dopolni v roku, ki ga določi agencija, se zahtevek za podporo vinarskemu sektorju za sejemske in promocijske dejavnosti na ciljnih trgih zavrne.</w:t>
      </w:r>
    </w:p>
    <w:p>
      <w:pPr>
        <w:pStyle w:val="p"/>
        <w:spacing w:before="210" w:after="210"/>
        <w:ind w:left="0" w:right="0"/>
        <w:rPr>
          <w:rFonts w:ascii="Arial" w:eastAsia="Arial" w:hAnsi="Arial" w:cs="Arial"/>
          <w:sz w:val="21"/>
          <w:szCs w:val="21"/>
        </w:rPr>
      </w:pPr>
      <w:r>
        <w:rPr>
          <w:rFonts w:ascii="Arial" w:eastAsia="Arial" w:hAnsi="Arial" w:cs="Arial"/>
        </w:rPr>
        <w:t>21.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uredba začne veljati naslednji dan po objavi v Uradnem listu Republike Slovenije.«.</w:t>
      </w:r>
    </w:p>
    <w:p>
      <w:pPr>
        <w:pStyle w:val="p"/>
        <w:spacing w:before="210" w:after="210"/>
        <w:ind w:left="0" w:right="0"/>
        <w:rPr>
          <w:rFonts w:ascii="Arial" w:eastAsia="Arial" w:hAnsi="Arial" w:cs="Arial"/>
          <w:sz w:val="21"/>
          <w:szCs w:val="21"/>
        </w:rPr>
      </w:pPr>
      <w:r>
        <w:pict>
          <v:rect id="_x0000_i1030" style="width:57pt;height:1.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rPr>
        <w:t>Uredba o izvajanju podpornega programa v vinskem sektorju (Uradni list RS, št. 38/16) določa:</w:t>
      </w:r>
    </w:p>
    <w:p>
      <w:pPr>
        <w:pStyle w:val="p"/>
        <w:spacing w:before="210" w:after="210"/>
        <w:ind w:left="0" w:right="0"/>
        <w:rPr>
          <w:rFonts w:ascii="Arial" w:eastAsia="Arial" w:hAnsi="Arial" w:cs="Arial"/>
          <w:sz w:val="21"/>
          <w:szCs w:val="21"/>
        </w:rPr>
      </w:pPr>
      <w:r>
        <w:rPr>
          <w:rFonts w:ascii="Arial" w:eastAsia="Arial" w:hAnsi="Arial" w:cs="Arial"/>
        </w:rPr>
        <w:t>»33.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veljavnosti)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dnem uveljavitve te uredbe prenehajo veljati 3. do 14. člen in priloge 1 do 4 Uredbe o ureditvi trga z vinom (Uradni list RS, št. 6/12, 38/12, 24/13 in 66/14), uporabljajo pa se za dokončanje postopkov, ki so se začeli na podlagi Uredbe o ureditvi trga z vinom (Uradni list RS, št. 6/12, 38/12, 24/13 in 66/14).«;</w:t>
      </w:r>
    </w:p>
    <w:p>
      <w:pPr>
        <w:pStyle w:val="p"/>
        <w:spacing w:before="210" w:after="210"/>
        <w:ind w:left="0" w:right="0"/>
        <w:rPr>
          <w:rFonts w:ascii="Arial" w:eastAsia="Arial" w:hAnsi="Arial" w:cs="Arial"/>
          <w:sz w:val="21"/>
          <w:szCs w:val="21"/>
        </w:rPr>
      </w:pPr>
      <w:r>
        <w:rPr>
          <w:rFonts w:ascii="Arial" w:eastAsia="Arial" w:hAnsi="Arial" w:cs="Arial"/>
        </w:rPr>
        <w:t>ter vsebuje naslednjo končno določbo:</w:t>
      </w:r>
    </w:p>
    <w:p>
      <w:pPr>
        <w:pStyle w:val="p"/>
        <w:spacing w:before="210" w:after="210"/>
        <w:ind w:left="0" w:right="0"/>
        <w:rPr>
          <w:rFonts w:ascii="Arial" w:eastAsia="Arial" w:hAnsi="Arial" w:cs="Arial"/>
          <w:sz w:val="21"/>
          <w:szCs w:val="21"/>
        </w:rPr>
      </w:pPr>
      <w:r>
        <w:rPr>
          <w:rFonts w:ascii="Arial" w:eastAsia="Arial" w:hAnsi="Arial" w:cs="Arial"/>
        </w:rPr>
        <w:t>»34.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veljavnosti)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uredba začne veljati naslednji dan po objavi v Uradnem listu Republike Slovenije.«.</w:t>
      </w:r>
    </w:p>
    <w:p>
      <w:pPr>
        <w:pStyle w:val="p"/>
        <w:spacing w:before="210" w:after="210"/>
        <w:ind w:left="0" w:right="0"/>
        <w:rPr>
          <w:rFonts w:ascii="Arial" w:eastAsia="Arial" w:hAnsi="Arial" w:cs="Arial"/>
          <w:sz w:val="21"/>
          <w:szCs w:val="21"/>
        </w:rPr>
      </w:pPr>
      <w:r>
        <w:pict>
          <v:rect id="_x0000_i1031" style="width:57pt;height:1.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rPr>
        <w:t xml:space="preserve">Uredba o spremembah in dopolnitvah Uredbe o ureditvi trga z vinom (Uradni list RS, št. </w:t>
      </w:r>
      <w:hyperlink r:id="rId13" w:history="1">
        <w:r>
          <w:rPr>
            <w:rFonts w:ascii="Arial" w:eastAsia="Arial" w:hAnsi="Arial" w:cs="Arial"/>
            <w:color w:val="0000EE"/>
            <w:u w:val="single" w:color="0000EE"/>
          </w:rPr>
          <w:t>14/17</w:t>
        </w:r>
      </w:hyperlink>
      <w:r>
        <w:rPr>
          <w:rFonts w:ascii="Arial" w:eastAsia="Arial" w:hAnsi="Arial" w:cs="Arial"/>
        </w:rPr>
        <w:t>) vsebuje naslednjo končno določbo:</w:t>
      </w:r>
    </w:p>
    <w:p>
      <w:pPr>
        <w:pStyle w:val="p"/>
        <w:spacing w:before="210" w:after="210"/>
        <w:ind w:left="0" w:right="0"/>
        <w:rPr>
          <w:rFonts w:ascii="Arial" w:eastAsia="Arial" w:hAnsi="Arial" w:cs="Arial"/>
          <w:sz w:val="21"/>
          <w:szCs w:val="21"/>
        </w:rPr>
      </w:pPr>
      <w:r>
        <w:rPr>
          <w:rFonts w:ascii="Arial" w:eastAsia="Arial" w:hAnsi="Arial" w:cs="Arial"/>
        </w:rPr>
        <w:t>»3.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uredba začne veljati petnajsti dan po objavi v Uradnem listu Republike Slovenije.«.</w:t>
      </w:r>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textJustify">
    <w:name w:val="textJustify"/>
    <w:basedOn w:val="Normal"/>
    <w:pPr>
      <w:jc w:val="both"/>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center">
    <w:name w:val="center"/>
    <w:basedOn w:val="Normal"/>
    <w:pPr>
      <w:jc w:val="center"/>
    </w:pPr>
  </w:style>
  <w:style w:type="paragraph" w:customStyle="1" w:styleId="crkovnatockazaodstavkom">
    <w:name w:val="crkovna_tocka_za_odstavkom"/>
    <w:basedOn w:val="Normal"/>
    <w:pPr>
      <w:ind w:hanging="425"/>
      <w:jc w:val="both"/>
    </w:pPr>
  </w:style>
  <w:style w:type="paragraph" w:customStyle="1" w:styleId="alineazacrkovnotocko">
    <w:name w:val="alinea_za_crkovno_tocko"/>
    <w:basedOn w:val="Normal"/>
    <w:pPr>
      <w:ind w:hanging="142"/>
      <w:jc w:val="both"/>
    </w:pPr>
  </w:style>
  <w:style w:type="paragraph" w:customStyle="1" w:styleId="p">
    <w:name w:val="p"/>
    <w:basedOn w:val="Normal"/>
    <w:rPr>
      <w:sz w:val="21"/>
      <w:szCs w:val="21"/>
    </w:rPr>
  </w:style>
  <w:style w:type="paragraph" w:customStyle="1" w:styleId="priloga">
    <w:name w:val="priloga"/>
    <w:basedOn w:val="Normal"/>
    <w:pPr>
      <w:pBdr>
        <w:top w:val="none" w:sz="0" w:space="24" w:color="auto"/>
        <w:bottom w:val="none" w:sz="0" w:space="3" w:color="auto"/>
      </w:pBdr>
      <w:spacing w:line="200" w:lineRule="atLeas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uradni-list.si/1/objava.jsp?urlid=201238&amp;stevilka=1676" TargetMode="External" /><Relationship Id="rId11" Type="http://schemas.openxmlformats.org/officeDocument/2006/relationships/hyperlink" Target="http://www.uradni-list.si/1/objava.jsp?urlid=201324&amp;stevilka=867" TargetMode="External" /><Relationship Id="rId12" Type="http://schemas.openxmlformats.org/officeDocument/2006/relationships/hyperlink" Target="http://www.uradni-list.si/1/objava.jsp?urlurid=20142808" TargetMode="External" /><Relationship Id="rId13" Type="http://schemas.openxmlformats.org/officeDocument/2006/relationships/hyperlink" Target="https://www.uradni-list.si/1/objava.jsp?sop=2017-01-0671"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uradni-list.si/1/objava.jsp?sop=2016-01-1688" TargetMode="External" /><Relationship Id="rId5" Type="http://schemas.openxmlformats.org/officeDocument/2006/relationships/hyperlink" Target="https://pisrs.si/api/datoteke/integracije/259002563" TargetMode="External" /><Relationship Id="rId6" Type="http://schemas.openxmlformats.org/officeDocument/2006/relationships/hyperlink" Target="https://pisrs.si/api/datoteke/integracije/259002566" TargetMode="External" /><Relationship Id="rId7" Type="http://schemas.openxmlformats.org/officeDocument/2006/relationships/hyperlink" Target="https://pisrs.si/api/datoteke/integracije/259002569" TargetMode="External" /><Relationship Id="rId8" Type="http://schemas.openxmlformats.org/officeDocument/2006/relationships/hyperlink" Target="https://pisrs.si/api/datoteke/integracije/259002572" TargetMode="External" /><Relationship Id="rId9" Type="http://schemas.openxmlformats.org/officeDocument/2006/relationships/hyperlink" Target="http://www.uradni-list.si/1/objava.jsp?urlid=20126&amp;stevilka=23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URED5907 NPB5</dc:title>
  <cp:revision>1</cp:revision>
</cp:coreProperties>
</file>