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22.5.0 -->
  <w:body>
    <w:p>
      <w:pPr>
        <w:pStyle w:val="zamik"/>
        <w:pBdr>
          <w:top w:val="none" w:sz="0" w:space="24" w:color="auto"/>
        </w:pBdr>
        <w:spacing w:before="0" w:after="210"/>
        <w:ind w:left="0" w:right="0"/>
        <w:jc w:val="both"/>
        <w:rPr>
          <w:rFonts w:ascii="Arial" w:eastAsia="Arial" w:hAnsi="Arial" w:cs="Arial"/>
          <w:sz w:val="21"/>
          <w:szCs w:val="21"/>
        </w:rPr>
      </w:pPr>
      <w:r>
        <w:rPr>
          <w:rFonts w:ascii="Arial" w:eastAsia="Arial" w:hAnsi="Arial" w:cs="Arial"/>
          <w:sz w:val="21"/>
          <w:szCs w:val="21"/>
        </w:rPr>
        <w:t>Na podlagi drugega odstavka 18.c člena Zakona o kmetijstvu (Uradni list RS, št. 45/08, 57/12, 90/12 – ZdZPVHVVR, 26/14, 32/15, 27/17, 22/18, 86/21 – odl. US, 123/21, 44/22,130/22 – ZPOmK-2, 18/23 in 78/23) ministrica za kmetijstvo, gozdarstvo in prehrano izdaja</w:t>
      </w:r>
    </w:p>
    <w:p>
      <w:pPr>
        <w:pStyle w:val="center"/>
        <w:spacing w:before="210" w:after="210"/>
        <w:ind w:left="0" w:right="0"/>
        <w:rPr>
          <w:rFonts w:ascii="Arial" w:eastAsia="Arial" w:hAnsi="Arial" w:cs="Arial"/>
          <w:b/>
          <w:bCs/>
          <w:caps/>
          <w:sz w:val="21"/>
          <w:szCs w:val="21"/>
        </w:rPr>
      </w:pPr>
      <w:r>
        <w:rPr>
          <w:rFonts w:ascii="Arial" w:eastAsia="Arial" w:hAnsi="Arial" w:cs="Arial"/>
          <w:b/>
          <w:bCs/>
          <w:caps/>
          <w:sz w:val="21"/>
          <w:szCs w:val="21"/>
        </w:rPr>
        <w:t>PRAVILNIK</w:t>
      </w:r>
    </w:p>
    <w:p>
      <w:pPr>
        <w:pStyle w:val="center"/>
        <w:spacing w:before="210" w:after="210"/>
        <w:ind w:left="0" w:right="0"/>
        <w:rPr>
          <w:rFonts w:ascii="Arial" w:eastAsia="Arial" w:hAnsi="Arial" w:cs="Arial"/>
          <w:b/>
          <w:bCs/>
          <w:caps/>
          <w:sz w:val="21"/>
          <w:szCs w:val="21"/>
        </w:rPr>
      </w:pPr>
      <w:r>
        <w:rPr>
          <w:rFonts w:ascii="Arial" w:eastAsia="Arial" w:hAnsi="Arial" w:cs="Arial"/>
          <w:b/>
          <w:bCs/>
          <w:caps/>
          <w:sz w:val="21"/>
          <w:szCs w:val="21"/>
        </w:rPr>
        <w:t>o označevanju vira sofinanciranja iz strateškega načrta skupne kmetijske politike 2023–2027</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(vsebina)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Ta pravilnik določa zavezanca za označevanje, način in obvezne elemente označevanja, neobvezne elemente označevanja, lokacijo označevanja in trajanje obveznosti označevanja vira sofinanciranja operacij, ki se izvajajo v okviru intervencij iz strateškega načrta, ki ureja skupno kmetijsko politiko za obdobje 2023–2027(v nadaljnjem besedilu: strateški načrt), za izvajanje:</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xml:space="preserve">– točk (j) in (k) drugega odstavka 123. člena </w:t>
      </w:r>
      <w:hyperlink r:id="rId4" w:tgtFrame="_blank" w:tooltip="to EUR-Lex" w:history="1">
        <w:r>
          <w:rPr>
            <w:rFonts w:ascii="Arial" w:eastAsia="Arial" w:hAnsi="Arial" w:cs="Arial"/>
            <w:color w:val="0000EE"/>
            <w:sz w:val="21"/>
            <w:szCs w:val="21"/>
            <w:u w:val="single" w:color="0000EE"/>
          </w:rPr>
          <w:t>Uredbe (EU) 2021/2115</w:t>
        </w:r>
      </w:hyperlink>
      <w:r>
        <w:rPr>
          <w:rFonts w:ascii="Arial" w:eastAsia="Arial" w:hAnsi="Arial" w:cs="Arial"/>
          <w:sz w:val="21"/>
          <w:szCs w:val="21"/>
        </w:rPr>
        <w:t xml:space="preserve"> Evropskega parlamenta in Sveta z dne 2. decembra 2021 o določitvi pravil o podpori za strateške načrte, ki jih pripravijo države članice v okviru skupne kmetijske politike (strateški načrti SKP) in se financirajo iz Evropskega kmetijskega jamstvenega sklada (EKJS) in Evropskega kmetijskega sklada za razvoj podeželja (EKSRP), ter o razveljavitvi </w:t>
      </w:r>
      <w:hyperlink r:id="rId5" w:tgtFrame="_blank" w:tooltip="to EUR-Lex" w:history="1">
        <w:r>
          <w:rPr>
            <w:rFonts w:ascii="Arial" w:eastAsia="Arial" w:hAnsi="Arial" w:cs="Arial"/>
            <w:color w:val="0000EE"/>
            <w:sz w:val="21"/>
            <w:szCs w:val="21"/>
            <w:u w:val="single" w:color="0000EE"/>
          </w:rPr>
          <w:t>uredb (EU) št. 1305/2013</w:t>
        </w:r>
      </w:hyperlink>
      <w:r>
        <w:rPr>
          <w:rFonts w:ascii="Arial" w:eastAsia="Arial" w:hAnsi="Arial" w:cs="Arial"/>
          <w:sz w:val="21"/>
          <w:szCs w:val="21"/>
        </w:rPr>
        <w:t xml:space="preserve"> in </w:t>
      </w:r>
      <w:hyperlink r:id="rId6" w:tgtFrame="_blank" w:tooltip="to EUR-Lex" w:history="1">
        <w:r>
          <w:rPr>
            <w:rFonts w:ascii="Arial" w:eastAsia="Arial" w:hAnsi="Arial" w:cs="Arial"/>
            <w:color w:val="0000EE"/>
            <w:sz w:val="21"/>
            <w:szCs w:val="21"/>
            <w:u w:val="single" w:color="0000EE"/>
          </w:rPr>
          <w:t>(EU) št. 1307/2013</w:t>
        </w:r>
      </w:hyperlink>
      <w:r>
        <w:rPr>
          <w:rFonts w:ascii="Arial" w:eastAsia="Arial" w:hAnsi="Arial" w:cs="Arial"/>
          <w:sz w:val="21"/>
          <w:szCs w:val="21"/>
        </w:rPr>
        <w:t xml:space="preserve"> (UL L št. 435 z dne 6. 12. 2021, str. 1), zadnjič spremenjene z </w:t>
      </w:r>
      <w:hyperlink r:id="rId7" w:tgtFrame="_blank" w:tooltip="to EUR-Lex" w:history="1">
        <w:r>
          <w:rPr>
            <w:rFonts w:ascii="Arial" w:eastAsia="Arial" w:hAnsi="Arial" w:cs="Arial"/>
            <w:color w:val="0000EE"/>
            <w:sz w:val="21"/>
            <w:szCs w:val="21"/>
            <w:u w:val="single" w:color="0000EE"/>
          </w:rPr>
          <w:t>Uredbo (EU) 2024/1468</w:t>
        </w:r>
      </w:hyperlink>
      <w:r>
        <w:rPr>
          <w:rFonts w:ascii="Arial" w:eastAsia="Arial" w:hAnsi="Arial" w:cs="Arial"/>
          <w:sz w:val="21"/>
          <w:szCs w:val="21"/>
        </w:rPr>
        <w:t xml:space="preserve"> Evropskega parlamenta in Sveta z dne 14. maja 2024 o spremembi </w:t>
      </w:r>
      <w:hyperlink r:id="rId4" w:tgtFrame="_blank" w:tooltip="to EUR-Lex" w:history="1">
        <w:r>
          <w:rPr>
            <w:rFonts w:ascii="Arial" w:eastAsia="Arial" w:hAnsi="Arial" w:cs="Arial"/>
            <w:color w:val="0000EE"/>
            <w:sz w:val="21"/>
            <w:szCs w:val="21"/>
            <w:u w:val="single" w:color="0000EE"/>
          </w:rPr>
          <w:t>uredb (EU) 2021/2115</w:t>
        </w:r>
      </w:hyperlink>
      <w:r>
        <w:rPr>
          <w:rFonts w:ascii="Arial" w:eastAsia="Arial" w:hAnsi="Arial" w:cs="Arial"/>
          <w:sz w:val="21"/>
          <w:szCs w:val="21"/>
        </w:rPr>
        <w:t xml:space="preserve"> in </w:t>
      </w:r>
      <w:hyperlink r:id="rId8" w:tgtFrame="_blank" w:tooltip="to EUR-Lex" w:history="1">
        <w:r>
          <w:rPr>
            <w:rFonts w:ascii="Arial" w:eastAsia="Arial" w:hAnsi="Arial" w:cs="Arial"/>
            <w:color w:val="0000EE"/>
            <w:sz w:val="21"/>
            <w:szCs w:val="21"/>
            <w:u w:val="single" w:color="0000EE"/>
          </w:rPr>
          <w:t>(EU) 2021/2116</w:t>
        </w:r>
      </w:hyperlink>
      <w:r>
        <w:rPr>
          <w:rFonts w:ascii="Arial" w:eastAsia="Arial" w:hAnsi="Arial" w:cs="Arial"/>
          <w:sz w:val="21"/>
          <w:szCs w:val="21"/>
        </w:rPr>
        <w:t xml:space="preserve"> v zvezi s standardi za dobre kmetijske in okoljske pogoje, shemami za podnebje, okolje in dobrobit živali, spremembami strateških načrtov SKP, pregledom strateških načrtov SKP ter izvzetji iz kontrol in sankcij (UL L št. 2024/1468 z dne 24. 5. 2024), (v nadaljnjem besedilu: </w:t>
      </w:r>
      <w:hyperlink r:id="rId4" w:tgtFrame="_blank" w:tooltip="to EUR-Lex" w:history="1">
        <w:r>
          <w:rPr>
            <w:rFonts w:ascii="Arial" w:eastAsia="Arial" w:hAnsi="Arial" w:cs="Arial"/>
            <w:color w:val="0000EE"/>
            <w:sz w:val="21"/>
            <w:szCs w:val="21"/>
            <w:u w:val="single" w:color="0000EE"/>
          </w:rPr>
          <w:t>Uredba 2021/2115/EU</w:t>
        </w:r>
      </w:hyperlink>
      <w:r>
        <w:rPr>
          <w:rFonts w:ascii="Arial" w:eastAsia="Arial" w:hAnsi="Arial" w:cs="Arial"/>
          <w:sz w:val="21"/>
          <w:szCs w:val="21"/>
        </w:rPr>
        <w:t>) ter</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xml:space="preserve">– </w:t>
      </w:r>
      <w:hyperlink r:id="rId9" w:tgtFrame="_blank" w:tooltip="to EUR-Lex" w:history="1">
        <w:r>
          <w:rPr>
            <w:rFonts w:ascii="Arial" w:eastAsia="Arial" w:hAnsi="Arial" w:cs="Arial"/>
            <w:color w:val="0000EE"/>
            <w:sz w:val="21"/>
            <w:szCs w:val="21"/>
            <w:u w:val="single" w:color="0000EE"/>
          </w:rPr>
          <w:t>Izvedbene uredbe Komisije (EU) 2022/129</w:t>
        </w:r>
      </w:hyperlink>
      <w:r>
        <w:rPr>
          <w:rFonts w:ascii="Arial" w:eastAsia="Arial" w:hAnsi="Arial" w:cs="Arial"/>
          <w:sz w:val="21"/>
          <w:szCs w:val="21"/>
        </w:rPr>
        <w:t xml:space="preserve"> z dne 21. decembra 2021 o pravilih za vrste intervencij, ki zadevajo oljnice, bombaž in stranske proizvode vinarstva, v skladu z </w:t>
      </w:r>
      <w:hyperlink r:id="rId4" w:tgtFrame="_blank" w:tooltip="to EUR-Lex" w:history="1">
        <w:r>
          <w:rPr>
            <w:rFonts w:ascii="Arial" w:eastAsia="Arial" w:hAnsi="Arial" w:cs="Arial"/>
            <w:color w:val="0000EE"/>
            <w:sz w:val="21"/>
            <w:szCs w:val="21"/>
            <w:u w:val="single" w:color="0000EE"/>
          </w:rPr>
          <w:t>Uredbo (EU) 2021/2115</w:t>
        </w:r>
      </w:hyperlink>
      <w:r>
        <w:rPr>
          <w:rFonts w:ascii="Arial" w:eastAsia="Arial" w:hAnsi="Arial" w:cs="Arial"/>
          <w:sz w:val="21"/>
          <w:szCs w:val="21"/>
        </w:rPr>
        <w:t xml:space="preserve"> Evropskega parlamenta in Sveta ter za zahteve glede informiranja, obveščanja javnosti in prepoznavnosti v zvezi s podporo Unije in strateškimi načrti SKP (UL L št. 20 z dne 31. 1. 2022, str. 197), zadnjič spremenjene z </w:t>
      </w:r>
      <w:hyperlink r:id="rId10" w:tgtFrame="_blank" w:tooltip="to EUR-Lex" w:history="1">
        <w:r>
          <w:rPr>
            <w:rFonts w:ascii="Arial" w:eastAsia="Arial" w:hAnsi="Arial" w:cs="Arial"/>
            <w:color w:val="0000EE"/>
            <w:sz w:val="21"/>
            <w:szCs w:val="21"/>
            <w:u w:val="single" w:color="0000EE"/>
          </w:rPr>
          <w:t>Izvedbeno uredbo Komisije (EU) 2024/194</w:t>
        </w:r>
      </w:hyperlink>
      <w:r>
        <w:rPr>
          <w:rFonts w:ascii="Arial" w:eastAsia="Arial" w:hAnsi="Arial" w:cs="Arial"/>
          <w:sz w:val="21"/>
          <w:szCs w:val="21"/>
        </w:rPr>
        <w:t xml:space="preserve"> z dne 8. januarja 2024 o popravku nekaterih jezikovnih različic </w:t>
      </w:r>
      <w:hyperlink r:id="rId9" w:tgtFrame="_blank" w:tooltip="to EUR-Lex" w:history="1">
        <w:r>
          <w:rPr>
            <w:rFonts w:ascii="Arial" w:eastAsia="Arial" w:hAnsi="Arial" w:cs="Arial"/>
            <w:color w:val="0000EE"/>
            <w:sz w:val="21"/>
            <w:szCs w:val="21"/>
            <w:u w:val="single" w:color="0000EE"/>
          </w:rPr>
          <w:t>Izvedbene uredbe (EU) 2022/129</w:t>
        </w:r>
      </w:hyperlink>
      <w:r>
        <w:rPr>
          <w:rFonts w:ascii="Arial" w:eastAsia="Arial" w:hAnsi="Arial" w:cs="Arial"/>
          <w:sz w:val="21"/>
          <w:szCs w:val="21"/>
        </w:rPr>
        <w:t xml:space="preserve"> o pravilih za vrste intervencij, ki zadevajo oljnice, bombaž in stranske proizvode vinarstva, v skladu z </w:t>
      </w:r>
      <w:hyperlink r:id="rId4" w:tgtFrame="_blank" w:tooltip="to EUR-Lex" w:history="1">
        <w:r>
          <w:rPr>
            <w:rFonts w:ascii="Arial" w:eastAsia="Arial" w:hAnsi="Arial" w:cs="Arial"/>
            <w:color w:val="0000EE"/>
            <w:sz w:val="21"/>
            <w:szCs w:val="21"/>
            <w:u w:val="single" w:color="0000EE"/>
          </w:rPr>
          <w:t>Uredbo (EU) 2021/2115</w:t>
        </w:r>
      </w:hyperlink>
      <w:r>
        <w:rPr>
          <w:rFonts w:ascii="Arial" w:eastAsia="Arial" w:hAnsi="Arial" w:cs="Arial"/>
          <w:sz w:val="21"/>
          <w:szCs w:val="21"/>
        </w:rPr>
        <w:t xml:space="preserve"> Evropskega parlamenta in Sveta ter za zahteve glede informiranja, obveščanja javnosti in prepoznavnosti v zvezi s podporo Unije in strateškimi načrti SKP (UL L št. 2024/194 z dne 9. 1. 2024), (v nadaljnjem besedilu: </w:t>
      </w:r>
      <w:hyperlink r:id="rId9" w:tgtFrame="_blank" w:tooltip="to EUR-Lex" w:history="1">
        <w:r>
          <w:rPr>
            <w:rFonts w:ascii="Arial" w:eastAsia="Arial" w:hAnsi="Arial" w:cs="Arial"/>
            <w:color w:val="0000EE"/>
            <w:sz w:val="21"/>
            <w:szCs w:val="21"/>
            <w:u w:val="single" w:color="0000EE"/>
          </w:rPr>
          <w:t>Izvedbena uredba 2022/129/EU</w:t>
        </w:r>
      </w:hyperlink>
      <w:r>
        <w:rPr>
          <w:rFonts w:ascii="Arial" w:eastAsia="Arial" w:hAnsi="Arial" w:cs="Arial"/>
          <w:sz w:val="21"/>
          <w:szCs w:val="21"/>
        </w:rPr>
        <w:t>).</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2.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(pomen izrazov)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Izrazi, uporabljeni v tem pravilniku, pomenijo:</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1. operacija je projekt, naložba ali druga dejavnost, ki je predmet podpore v skladu z uredbo, ki ureja skupne določbe za izvajanje intervencij razvoja podeželja, ki niso vezane na površino ali živali, iz strateškega načrta skupne kmetijske politike 2023–2027 (v nadaljnjem besedilu: uredba o skupnih določbah za izvajanje intervencij);</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2. spletna stran iz tega pravilnika je spletna stran pravnih oseb, samostojnih podjetnikov posameznikov ter agrarnih ali pašnih skupnosti;</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3. družbena omrežja Facebook, Instagram ali YouTube so javno dostopne spletne platforme pravnih oseb, samostojnih podjetnikov posameznikov ter agrarnih ali pašnih skupnosti.</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3.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(zavezanec za označevanje)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 xml:space="preserve">Zavezanec za označevanje vira sofinanciranja iz tega pravilnika (v nadaljnjem besedilu: zavezanec za označevanje) je v skladu s točko (j) drugega odstavka 123. člena </w:t>
      </w:r>
      <w:hyperlink r:id="rId4" w:tgtFrame="_blank" w:tooltip="to EUR-Lex" w:history="1">
        <w:r>
          <w:rPr>
            <w:rFonts w:ascii="Arial" w:eastAsia="Arial" w:hAnsi="Arial" w:cs="Arial"/>
            <w:color w:val="0000EE"/>
            <w:sz w:val="21"/>
            <w:szCs w:val="21"/>
            <w:u w:val="single" w:color="0000EE"/>
          </w:rPr>
          <w:t>Uredbe 2021/2115/EU</w:t>
        </w:r>
      </w:hyperlink>
      <w:r>
        <w:rPr>
          <w:rFonts w:ascii="Arial" w:eastAsia="Arial" w:hAnsi="Arial" w:cs="Arial"/>
          <w:sz w:val="21"/>
          <w:szCs w:val="21"/>
        </w:rPr>
        <w:t xml:space="preserve"> upravičenec v okviru intervencij iz strateškega načrta, ki se sofinancirajo iz Evropskega kmetijskega sklada za razvoj podeželja, in sicer:</w:t>
      </w:r>
    </w:p>
    <w:p>
      <w:pPr>
        <w:pStyle w:val="crkovnatockazaodstavkom"/>
        <w:spacing w:before="210" w:after="210"/>
        <w:ind w:left="425" w:right="0"/>
        <w:rPr>
          <w:rFonts w:ascii="Arial" w:eastAsia="Arial" w:hAnsi="Arial" w:cs="Arial"/>
          <w:sz w:val="21"/>
          <w:szCs w:val="21"/>
        </w:rPr>
      </w:pPr>
      <w:r>
        <w:rPr>
          <w:rFonts w:ascii="Arial" w:eastAsia="Arial" w:hAnsi="Arial" w:cs="Arial"/>
          <w:sz w:val="21"/>
          <w:szCs w:val="21"/>
        </w:rPr>
        <w:t>a) intervencij iz priloge uredbe o skupnih določbah za izvajanje intervencij,</w:t>
      </w:r>
    </w:p>
    <w:p>
      <w:pPr>
        <w:pStyle w:val="crkovnatockazaodstavkom"/>
        <w:spacing w:before="210" w:after="210"/>
        <w:ind w:left="425" w:right="0"/>
        <w:rPr>
          <w:rFonts w:ascii="Arial" w:eastAsia="Arial" w:hAnsi="Arial" w:cs="Arial"/>
          <w:sz w:val="21"/>
          <w:szCs w:val="21"/>
        </w:rPr>
      </w:pPr>
      <w:r>
        <w:rPr>
          <w:rFonts w:ascii="Arial" w:eastAsia="Arial" w:hAnsi="Arial" w:cs="Arial"/>
          <w:sz w:val="21"/>
          <w:szCs w:val="21"/>
        </w:rPr>
        <w:t>b) intervencije LEADER iz uredbe, ki ureja izvajanje lokalnega razvoja, ki ga vodi skupnost, v obdobju do leta 2027 (v nadaljevanju: intervencija LEADER), in</w:t>
      </w:r>
    </w:p>
    <w:p>
      <w:pPr>
        <w:pStyle w:val="crkovnatockazaodstavkom"/>
        <w:spacing w:before="210" w:after="210"/>
        <w:ind w:left="425" w:right="0"/>
        <w:rPr>
          <w:rFonts w:ascii="Arial" w:eastAsia="Arial" w:hAnsi="Arial" w:cs="Arial"/>
          <w:sz w:val="21"/>
          <w:szCs w:val="21"/>
        </w:rPr>
      </w:pPr>
      <w:r>
        <w:rPr>
          <w:rFonts w:ascii="Arial" w:eastAsia="Arial" w:hAnsi="Arial" w:cs="Arial"/>
          <w:sz w:val="21"/>
          <w:szCs w:val="21"/>
        </w:rPr>
        <w:t>c) intervencije iz uredbe, ki urejaintervencijo ohranjanje, trajnostna raba in razvoj rastlinskih genskih virov v kmetijstvu iz strateškega načrta.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4.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(način in obvezni elementi označevanja)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Zavezanec za označevanje iz prejšnjega člena označi vir sofinanciranja na naslednje načine in z naslednjimi obveznimi elementi označevanja:</w:t>
      </w:r>
    </w:p>
    <w:p>
      <w:pPr>
        <w:pStyle w:val="crkovnatockazaodstavkom"/>
        <w:spacing w:before="210" w:after="210"/>
        <w:ind w:left="425" w:right="0"/>
        <w:rPr>
          <w:rFonts w:ascii="Arial" w:eastAsia="Arial" w:hAnsi="Arial" w:cs="Arial"/>
          <w:sz w:val="21"/>
          <w:szCs w:val="21"/>
        </w:rPr>
      </w:pPr>
      <w:r>
        <w:rPr>
          <w:rFonts w:ascii="Arial" w:eastAsia="Arial" w:hAnsi="Arial" w:cs="Arial"/>
          <w:sz w:val="21"/>
          <w:szCs w:val="21"/>
        </w:rPr>
        <w:t>a) na spletni strani iz 2. točke 2. člena tega pravilnika, če jo ima, navede naziv intervencije, naziv operacije, kratek opis in cilje operacije ter rezultate operacije, ko so dokončno znani. Izpostavi tudi emblem Evropske unije z navedbo »Sofinancira Evropska unija«, zastavo ali grb Republike Slovenije in logotip »Skupna kmetijska politika«, v skladu s Prilogo, ki je sestavni del tega pravilnika;</w:t>
      </w:r>
    </w:p>
    <w:p>
      <w:pPr>
        <w:pStyle w:val="crkovnatockazaodstavkom"/>
        <w:spacing w:before="210" w:after="210"/>
        <w:ind w:left="425" w:right="0"/>
        <w:rPr>
          <w:rFonts w:ascii="Arial" w:eastAsia="Arial" w:hAnsi="Arial" w:cs="Arial"/>
          <w:sz w:val="21"/>
          <w:szCs w:val="21"/>
        </w:rPr>
      </w:pPr>
      <w:r>
        <w:rPr>
          <w:rFonts w:ascii="Arial" w:eastAsia="Arial" w:hAnsi="Arial" w:cs="Arial"/>
          <w:sz w:val="21"/>
          <w:szCs w:val="21"/>
        </w:rPr>
        <w:t>b) na družbenih omrežjih iz 3. točke 2. člena tega pravilnika, če jih ima, v opisu profila ali v vsaj eni objavi navede naziv intervencije, naziv operacije, kratek opis in cilje operacije ter rezultate operacije, ko so dokončno znani. Izpostavi tudi emblem Evropske unije z navedbo »Sofinancira Evropska unija«, zastavo ali grb Republike Slovenije in logotip »Skupna kmetijska politika«, v skladu s Prilogo tega pravilnika;</w:t>
      </w:r>
    </w:p>
    <w:p>
      <w:pPr>
        <w:pStyle w:val="crkovnatockazaodstavkom"/>
        <w:spacing w:before="210" w:after="210"/>
        <w:ind w:left="425" w:right="0"/>
        <w:rPr>
          <w:rFonts w:ascii="Arial" w:eastAsia="Arial" w:hAnsi="Arial" w:cs="Arial"/>
          <w:sz w:val="21"/>
          <w:szCs w:val="21"/>
        </w:rPr>
      </w:pPr>
      <w:r>
        <w:rPr>
          <w:rFonts w:ascii="Arial" w:eastAsia="Arial" w:hAnsi="Arial" w:cs="Arial"/>
          <w:sz w:val="21"/>
          <w:szCs w:val="21"/>
        </w:rPr>
        <w:t>c) v dokumentih in komunikacijskem gradivu iz točk a), b), c), č), e) in f) prvega odstavka 9. člena tega pravilnika izpostavi emblem Evropske unije z navedbo »Sofinancira Evropska unija«, zastavo ali grb Republike Slovenije in logotip »Skupna kmetijska politika«, v skladu s Prilogo tega pravilnika, pri čemer mora biti v prispevkih po televiziji iz točke e) prvega odstavka 9. člena tega pravilnika izpostavitev prikazana vsaj del časa trajanja vsebine;</w:t>
      </w:r>
    </w:p>
    <w:p>
      <w:pPr>
        <w:pStyle w:val="crkovnatockazaodstavkom"/>
        <w:spacing w:before="210" w:after="210"/>
        <w:ind w:left="425" w:right="0"/>
        <w:rPr>
          <w:rFonts w:ascii="Arial" w:eastAsia="Arial" w:hAnsi="Arial" w:cs="Arial"/>
          <w:sz w:val="21"/>
          <w:szCs w:val="21"/>
        </w:rPr>
      </w:pPr>
      <w:r>
        <w:rPr>
          <w:rFonts w:ascii="Arial" w:eastAsia="Arial" w:hAnsi="Arial" w:cs="Arial"/>
          <w:sz w:val="21"/>
          <w:szCs w:val="21"/>
        </w:rPr>
        <w:t>č) v prispevkih po radiu iz točke d) prvega odstavka 9. člena tega pravilnika se finančna podpora Evropske unije in Republike Slovenije izpostavi ustno;</w:t>
      </w:r>
    </w:p>
    <w:p>
      <w:pPr>
        <w:pStyle w:val="crkovnatockazaodstavkom"/>
        <w:spacing w:before="210" w:after="210"/>
        <w:ind w:left="425" w:right="0"/>
        <w:rPr>
          <w:rFonts w:ascii="Arial" w:eastAsia="Arial" w:hAnsi="Arial" w:cs="Arial"/>
          <w:sz w:val="21"/>
          <w:szCs w:val="21"/>
        </w:rPr>
      </w:pPr>
      <w:r>
        <w:rPr>
          <w:rFonts w:ascii="Arial" w:eastAsia="Arial" w:hAnsi="Arial" w:cs="Arial"/>
          <w:sz w:val="21"/>
          <w:szCs w:val="21"/>
        </w:rPr>
        <w:t>d) za podporo upravljanja LAS v okviru intervencije LEADER namesti plakat velikosti najmanj A3, obrazložitveno tablo velikosti najmanj A3 ali po velikosti enakovreden elektronski prikazovalnik, na katerem navede naziv in kratek opis operacije ter izpostavi emblem Evropske unije z navedbo »Sofinancira Evropska unija«, zastavo ali grb Republike Slovenije in logotip »Skupna kmetijska politika«, v skladu s Prilogo tega pravilnika;</w:t>
      </w:r>
    </w:p>
    <w:p>
      <w:pPr>
        <w:pStyle w:val="crkovnatockazaodstavkom"/>
        <w:spacing w:before="210" w:after="210"/>
        <w:ind w:left="425" w:right="0"/>
        <w:rPr>
          <w:rFonts w:ascii="Arial" w:eastAsia="Arial" w:hAnsi="Arial" w:cs="Arial"/>
          <w:sz w:val="21"/>
          <w:szCs w:val="21"/>
        </w:rPr>
      </w:pPr>
      <w:r>
        <w:rPr>
          <w:rFonts w:ascii="Arial" w:eastAsia="Arial" w:hAnsi="Arial" w:cs="Arial"/>
          <w:sz w:val="21"/>
          <w:szCs w:val="21"/>
        </w:rPr>
        <w:t>e) za projekte v okviru intervencije LEADER, kjer podpora presega 10.000 eurov na projekt, označi vir sofinanciranja v skladu s točkami a), b), c) in č) tega odstavka ter namesti plakat velikosti najmanj A3, obrazložitveno tablo velikosti najmanj A3 ali po velikosti enakovreden elektronski prikazovalnik, na katerem navede informacije o projektu ter izpostavi emblem Evropske unije z navedbo »Sofinancira Evropska unija«, zastavo ali grb Republike Slovenije in logotip »Skupna kmetijska politika«, v skladu s Prilogo tega pravilnika;</w:t>
      </w:r>
    </w:p>
    <w:p>
      <w:pPr>
        <w:pStyle w:val="crkovnatockazaodstavkom"/>
        <w:spacing w:before="210" w:after="210"/>
        <w:ind w:left="425" w:right="0"/>
        <w:rPr>
          <w:rFonts w:ascii="Arial" w:eastAsia="Arial" w:hAnsi="Arial" w:cs="Arial"/>
          <w:sz w:val="21"/>
          <w:szCs w:val="21"/>
        </w:rPr>
      </w:pPr>
      <w:r>
        <w:rPr>
          <w:rFonts w:ascii="Arial" w:eastAsia="Arial" w:hAnsi="Arial" w:cs="Arial"/>
          <w:sz w:val="21"/>
          <w:szCs w:val="21"/>
        </w:rPr>
        <w:t>f) za operacije s podporo nad 50.000 eurov na operacijo, ki ne spadajo pod točki d) in e) tega odstavka, označi vir sofinanciranja v skladu s točkami a), b), c) in č) tega odstavka ter namesti obrazložitveno tablo velikosti najmanj A3 ali po velikosti enakovreden elektronski prikazovalnik, na katerem navede informacije o operaciji ter izpostavi emblem Evropske unije z navedbo »Sofinancira Evropska unija«, zastavo ali grb Republike Slovenije in logotip »Skupna kmetijska politika«, v skladu s Prilogo tega pravilnika.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Pri operacijah iz točk e) in f) prejšnjega odstavka, pri katerih je v skladu s predpisi, ki urejajo graditev objektov, zahtevana postavitev gradbiščne table, se vir sofinanciranja lahko označi na gradbiščni tabli.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Če zavezanec za označevanje izvaja več operacij, lahko vir sofinanciranja označi:</w:t>
      </w:r>
    </w:p>
    <w:p>
      <w:pPr>
        <w:pStyle w:val="crkovnatockazaodstavkom"/>
        <w:spacing w:before="210" w:after="210"/>
        <w:ind w:left="425" w:right="0"/>
        <w:rPr>
          <w:rFonts w:ascii="Arial" w:eastAsia="Arial" w:hAnsi="Arial" w:cs="Arial"/>
          <w:sz w:val="21"/>
          <w:szCs w:val="21"/>
        </w:rPr>
      </w:pPr>
      <w:r>
        <w:rPr>
          <w:rFonts w:ascii="Arial" w:eastAsia="Arial" w:hAnsi="Arial" w:cs="Arial"/>
          <w:sz w:val="21"/>
          <w:szCs w:val="21"/>
        </w:rPr>
        <w:t>a) na skupnem plakatu velikosti najmanj A3, skupni obrazložitveni tabli velikosti najmanj A3 ali skupnem po velikosti enakovrednem elektronskem prikazovalniku, kadar gre za projekte v okviru intervencije LEADER iz točke e) prvega odstavka tega člena, ali</w:t>
      </w:r>
    </w:p>
    <w:p>
      <w:pPr>
        <w:pStyle w:val="crkovnatockazaodstavkom"/>
        <w:spacing w:before="210" w:after="210"/>
        <w:ind w:left="425" w:right="0"/>
        <w:rPr>
          <w:rFonts w:ascii="Arial" w:eastAsia="Arial" w:hAnsi="Arial" w:cs="Arial"/>
          <w:sz w:val="21"/>
          <w:szCs w:val="21"/>
        </w:rPr>
      </w:pPr>
      <w:r>
        <w:rPr>
          <w:rFonts w:ascii="Arial" w:eastAsia="Arial" w:hAnsi="Arial" w:cs="Arial"/>
          <w:sz w:val="21"/>
          <w:szCs w:val="21"/>
        </w:rPr>
        <w:t>b) na skupni obrazložitveni tabli velikosti najmanj A3 ali skupnem po velikosti enakovrednem elektronskem prikazovalniku, kadar gre za operacije iz točke f) prvega odstavka tega člena.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(4) Obvezni logotipi se uporabijo v barvni, črno-beli ali monokromatski različici kot je prikazano v Prilogi tega pravilnika.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(5) Kadar se na isti lokaciji izvaja več operacij, ki so poleg iz Evropskega kmetijskega sklada za razvoj podeželja podprte še iz drugega ali drugih evropskih skladov, se logotipom iz Priloge tega pravilnika doda še obvezne logotipe drugega sklada ali drugih skladov, ki pa ne smejo biti večji od logotipov prikazanih v Prilogi tega pravilnika.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(6) Če označevanje vira sofinanciranja na samem promocijskem materialu iz točke č) prvega odstavka 9. člena tega pravilnika ni mogoče, se označitev izvede na embalaži promocijskega materiala ali na vizitki, ki mora biti sestavni del promocijskega materiala.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5.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(neobvezni elementi označevanja)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Zavezanec za označevanje lahko poleg obveznih elementov označevanja iz prejšnjega člena uporabi tudi druge logotipe kot so logotipi institucij, lokalnih akcijskih skupin ali znamk. Ti logotipi ne smejo biti večji od logotipov iz Priloge tega pravilnika.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 xml:space="preserve">(2) Pri označevanju vira sofinanciranja se lahko doda tudi hiperpovezava na spletno stran </w:t>
      </w:r>
      <w:hyperlink r:id="rId11" w:tgtFrame="_blank" w:tooltip="to URL" w:history="1">
        <w:r>
          <w:rPr>
            <w:rFonts w:ascii="Arial" w:eastAsia="Arial" w:hAnsi="Arial" w:cs="Arial"/>
            <w:color w:val="0000EE"/>
            <w:sz w:val="21"/>
            <w:szCs w:val="21"/>
            <w:u w:val="single" w:color="0000EE"/>
          </w:rPr>
          <w:t>https://www.skp.si</w:t>
        </w:r>
      </w:hyperlink>
      <w:r>
        <w:rPr>
          <w:rFonts w:ascii="Arial" w:eastAsia="Arial" w:hAnsi="Arial" w:cs="Arial"/>
          <w:sz w:val="21"/>
          <w:szCs w:val="21"/>
        </w:rPr>
        <w:t>.</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6.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(lokacija namestitve plakata, obrazložitve table ali elektronskega prikazovalnika)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Plakat, obrazložitvena tabla ali elektronski prikazovalnik iz točk d), e) in f) prvega odstavka in tretjega odstavka 4. člena tega pravilnika se namesti na eni od naslednjih možnih lokacij:</w:t>
      </w:r>
    </w:p>
    <w:p>
      <w:pPr>
        <w:pStyle w:val="crkovnatockazaodstavkom"/>
        <w:spacing w:before="210" w:after="210"/>
        <w:ind w:left="425" w:right="0"/>
        <w:rPr>
          <w:rFonts w:ascii="Arial" w:eastAsia="Arial" w:hAnsi="Arial" w:cs="Arial"/>
          <w:sz w:val="21"/>
          <w:szCs w:val="21"/>
        </w:rPr>
      </w:pPr>
      <w:r>
        <w:rPr>
          <w:rFonts w:ascii="Arial" w:eastAsia="Arial" w:hAnsi="Arial" w:cs="Arial"/>
          <w:sz w:val="21"/>
          <w:szCs w:val="21"/>
        </w:rPr>
        <w:t>a) na lokaciji izvajanja operacije ali</w:t>
      </w:r>
    </w:p>
    <w:p>
      <w:pPr>
        <w:pStyle w:val="crkovnatockazaodstavkom"/>
        <w:spacing w:before="210" w:after="210"/>
        <w:ind w:left="425" w:right="0"/>
        <w:rPr>
          <w:rFonts w:ascii="Arial" w:eastAsia="Arial" w:hAnsi="Arial" w:cs="Arial"/>
          <w:sz w:val="21"/>
          <w:szCs w:val="21"/>
        </w:rPr>
      </w:pPr>
      <w:r>
        <w:rPr>
          <w:rFonts w:ascii="Arial" w:eastAsia="Arial" w:hAnsi="Arial" w:cs="Arial"/>
          <w:sz w:val="21"/>
          <w:szCs w:val="21"/>
        </w:rPr>
        <w:t>b) na sedežu ali naslovu zavezanca za označevanje.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Ne glede na prejšnji odstavek se plakat, obrazložitvena tabla ali elektronski prikazovalnik iz točk d), e) in f) prvega odstavka in tretjega odstavka 4. člena tega pravilnika pri operacijah, ki se izvajajo v gozdu, namesti na sedežu ali naslovu zavezanca za označevanje, razen če je zavezanec za označevanje fizična oseba z naslovom v dvo- ali večstanovanjski stavbi, ko se plakat, obrazložitvena tabla ali elektronski prikazovalnik ne namesti.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Če predpisi, ki urejajo varstvo kulturne dediščine, predpisi, ki urejajo postavitev objektov in označb ob cestah, ali predpisi, ki urejajo označevanje na območjih varstva narave, prepovedujejo namestitev plakata, obrazložitvene table ali elektronskega prikazovalnika na določenem območju, se te omejitve upoštevajo. V takem primeru se njihova namestitev izvede na sedežu ali naslovu zavezanca za označevanje, razen če je zavezanec za označevanje fizična oseba z naslovom v dvo- ali večstanovanjski stavbi, ko se plakat, obrazložitvena tabla ali elektronski prikazovalnik ne namesti.</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7.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(vidnost, obstojnost in vzdrževanje plakata, obrazložitve table ali elektronskega prikazovalnika)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Plakat, obrazložitvena tabla ali elektronski prikazovalnik iz točk d), e) in f) prvega odstavka in tretjega odstavka 4. člena tega pravilnika mora biti nameščen na javnosti vidnem mestu, jasno berljiv ter stabilno in varno pritrjen.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Zavezanec za označevanje mora zagotoviti, da je plakat, obrazložitvena tabla ali elektronski prikazovalnik izdelan iz materiala, odpornega na vremenske vplive in prilagojenega lokaciji postavitve.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Če plakat, obrazložitvena tabla ali elektronski prikazovalnik postane poškodovan ali nečitljiv, ga mora zavezanec za označevanje popraviti ali zamenjati.</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8.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(trajanje obveznosti označevanja)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Obveznost označevanja vira sofinanciranja:</w:t>
      </w:r>
    </w:p>
    <w:p>
      <w:pPr>
        <w:pStyle w:val="crkovnatockazaodstavkom"/>
        <w:spacing w:before="210" w:after="210"/>
        <w:ind w:left="425" w:right="0"/>
        <w:rPr>
          <w:rFonts w:ascii="Arial" w:eastAsia="Arial" w:hAnsi="Arial" w:cs="Arial"/>
          <w:sz w:val="21"/>
          <w:szCs w:val="21"/>
        </w:rPr>
      </w:pPr>
      <w:r>
        <w:rPr>
          <w:rFonts w:ascii="Arial" w:eastAsia="Arial" w:hAnsi="Arial" w:cs="Arial"/>
          <w:sz w:val="21"/>
          <w:szCs w:val="21"/>
        </w:rPr>
        <w:t>a) se prične v roku dveh mesecev od vročitve odločbe o pravici do sredstev in traja do zadnjega izplačila sredstev ali</w:t>
      </w:r>
    </w:p>
    <w:p>
      <w:pPr>
        <w:pStyle w:val="crkovnatockazaodstavkom"/>
        <w:spacing w:before="210" w:after="210"/>
        <w:ind w:left="425" w:right="0"/>
        <w:rPr>
          <w:rFonts w:ascii="Arial" w:eastAsia="Arial" w:hAnsi="Arial" w:cs="Arial"/>
          <w:sz w:val="21"/>
          <w:szCs w:val="21"/>
        </w:rPr>
      </w:pPr>
      <w:r>
        <w:rPr>
          <w:rFonts w:ascii="Arial" w:eastAsia="Arial" w:hAnsi="Arial" w:cs="Arial"/>
          <w:sz w:val="21"/>
          <w:szCs w:val="21"/>
        </w:rPr>
        <w:t>b) se prične od podpisa pogodbe na podlagi izvedenega postopka oddaje javnega naročila v skladu s predpisi, ki urejajo javno naročanje, in traja do zadnjega izplačila sredstev.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Ne glede na prejšnji odstavek se obveznost označevanja pri intervenciji iz uredbe, ki ureja izvajanje intervencije podpora za novo sodelovanje v shemah kakovosti iz strateškega načrta skupne kmetijske politike 2023–2027, zaključi eno leto po izplačilu sredstev.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Ne glede na prvi odstavek tega člena traja obveznost označevanja za operacije iz točke f) prvega odstavka 4. člena tega pravilnika, pri katerih podpora presega 500.000 eurov na operacijo, še vsaj pet let po zadnjem izplačilu sredstev.</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9.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(dokumenti in komunikacijsko gradivo)</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Dokumenti in komunikacijsko gradivo obsegajo naslednje vrste dokumentov in komunikacijskega gradiva, ki so povezani z izvajanjem operacije in so namenjeni javnosti:</w:t>
      </w:r>
    </w:p>
    <w:p>
      <w:pPr>
        <w:pStyle w:val="crkovnatockazaodstavkom"/>
        <w:spacing w:before="210" w:after="210"/>
        <w:ind w:left="425" w:right="0"/>
        <w:rPr>
          <w:rFonts w:ascii="Arial" w:eastAsia="Arial" w:hAnsi="Arial" w:cs="Arial"/>
          <w:sz w:val="21"/>
          <w:szCs w:val="21"/>
        </w:rPr>
      </w:pPr>
      <w:r>
        <w:rPr>
          <w:rFonts w:ascii="Arial" w:eastAsia="Arial" w:hAnsi="Arial" w:cs="Arial"/>
          <w:sz w:val="21"/>
          <w:szCs w:val="21"/>
        </w:rPr>
        <w:t>a) tiskana gradiva (npr. poročila za javno objavo, knjižice, brošure, bilteni, plakati, prispevki in oglasi v tiskanih medijih, sporočila za javnost, gradiva usposabljanj in svetovanj, vabila na dogodke);</w:t>
      </w:r>
    </w:p>
    <w:p>
      <w:pPr>
        <w:pStyle w:val="crkovnatockazaodstavkom"/>
        <w:spacing w:before="210" w:after="210"/>
        <w:ind w:left="425" w:right="0"/>
        <w:rPr>
          <w:rFonts w:ascii="Arial" w:eastAsia="Arial" w:hAnsi="Arial" w:cs="Arial"/>
          <w:sz w:val="21"/>
          <w:szCs w:val="21"/>
        </w:rPr>
      </w:pPr>
      <w:r>
        <w:rPr>
          <w:rFonts w:ascii="Arial" w:eastAsia="Arial" w:hAnsi="Arial" w:cs="Arial"/>
          <w:sz w:val="21"/>
          <w:szCs w:val="21"/>
        </w:rPr>
        <w:t>b) elektronska gradiva (npr. e-publikacije, predstavitve v PowerPointu, CD-ji, DVD-ji, videoposnetki, gradiva usposabljanj in svetovanj, vabila na dogodke);</w:t>
      </w:r>
    </w:p>
    <w:p>
      <w:pPr>
        <w:pStyle w:val="crkovnatockazaodstavkom"/>
        <w:spacing w:before="210" w:after="210"/>
        <w:ind w:left="425" w:right="0"/>
        <w:rPr>
          <w:rFonts w:ascii="Arial" w:eastAsia="Arial" w:hAnsi="Arial" w:cs="Arial"/>
          <w:sz w:val="21"/>
          <w:szCs w:val="21"/>
        </w:rPr>
      </w:pPr>
      <w:r>
        <w:rPr>
          <w:rFonts w:ascii="Arial" w:eastAsia="Arial" w:hAnsi="Arial" w:cs="Arial"/>
          <w:sz w:val="21"/>
          <w:szCs w:val="21"/>
        </w:rPr>
        <w:t>c) informativne table, ki vključujejo predstavitve tematskih poti, lokacij ali območij;</w:t>
      </w:r>
    </w:p>
    <w:p>
      <w:pPr>
        <w:pStyle w:val="crkovnatockazaodstavkom"/>
        <w:spacing w:before="210" w:after="210"/>
        <w:ind w:left="425" w:right="0"/>
        <w:rPr>
          <w:rFonts w:ascii="Arial" w:eastAsia="Arial" w:hAnsi="Arial" w:cs="Arial"/>
          <w:sz w:val="21"/>
          <w:szCs w:val="21"/>
        </w:rPr>
      </w:pPr>
      <w:r>
        <w:rPr>
          <w:rFonts w:ascii="Arial" w:eastAsia="Arial" w:hAnsi="Arial" w:cs="Arial"/>
          <w:sz w:val="21"/>
          <w:szCs w:val="21"/>
        </w:rPr>
        <w:t>č) promocijski material (npr. pisala, majice, darilne vrečke, USB-ključki, izdelki domače in umetnostne obrti, rokodelski izdelki);</w:t>
      </w:r>
    </w:p>
    <w:p>
      <w:pPr>
        <w:pStyle w:val="crkovnatockazaodstavkom"/>
        <w:spacing w:before="210" w:after="210"/>
        <w:ind w:left="425" w:right="0"/>
        <w:rPr>
          <w:rFonts w:ascii="Arial" w:eastAsia="Arial" w:hAnsi="Arial" w:cs="Arial"/>
          <w:sz w:val="21"/>
          <w:szCs w:val="21"/>
        </w:rPr>
      </w:pPr>
      <w:r>
        <w:rPr>
          <w:rFonts w:ascii="Arial" w:eastAsia="Arial" w:hAnsi="Arial" w:cs="Arial"/>
          <w:sz w:val="21"/>
          <w:szCs w:val="21"/>
        </w:rPr>
        <w:t>d) prispevki po radiu (npr. oglasi, oddaje);</w:t>
      </w:r>
    </w:p>
    <w:p>
      <w:pPr>
        <w:pStyle w:val="crkovnatockazaodstavkom"/>
        <w:spacing w:before="210" w:after="210"/>
        <w:ind w:left="425" w:right="0"/>
        <w:rPr>
          <w:rFonts w:ascii="Arial" w:eastAsia="Arial" w:hAnsi="Arial" w:cs="Arial"/>
          <w:sz w:val="21"/>
          <w:szCs w:val="21"/>
        </w:rPr>
      </w:pPr>
      <w:r>
        <w:rPr>
          <w:rFonts w:ascii="Arial" w:eastAsia="Arial" w:hAnsi="Arial" w:cs="Arial"/>
          <w:sz w:val="21"/>
          <w:szCs w:val="21"/>
        </w:rPr>
        <w:t>e) prispevki po televiziji (npr. oglasi, oddaje);</w:t>
      </w:r>
    </w:p>
    <w:p>
      <w:pPr>
        <w:pStyle w:val="crkovnatockazaodstavkom"/>
        <w:spacing w:before="210" w:after="210"/>
        <w:ind w:left="425" w:right="0"/>
        <w:rPr>
          <w:rFonts w:ascii="Arial" w:eastAsia="Arial" w:hAnsi="Arial" w:cs="Arial"/>
          <w:sz w:val="21"/>
          <w:szCs w:val="21"/>
        </w:rPr>
      </w:pPr>
      <w:r>
        <w:rPr>
          <w:rFonts w:ascii="Arial" w:eastAsia="Arial" w:hAnsi="Arial" w:cs="Arial"/>
          <w:sz w:val="21"/>
          <w:szCs w:val="21"/>
        </w:rPr>
        <w:t>f) dokumenti, ki se nanašajo na upravičence (npr. razpisna dokumentacija javnih razpisov in javnih naročil, pogodbe med upravičenci in izvajalci).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Ne glede na prejšnji odstavek označitev vira sofinanciranja ni potrebna na listah prisotnosti, internih dokumentih upravičenca ali naročilnicah.</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caps/>
          <w:sz w:val="21"/>
          <w:szCs w:val="21"/>
        </w:rPr>
        <w:t>PREHODNA IN KONČNI DOLOČBI</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10.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(končanje postopkov)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Postopki, začeti na podlagi Pravilnika o označevanju vira sofinanciranja iz strateškega načrta skupne kmetijske politike 2023–2027 (Uradni list RS, št. 77/23), se končajo v skladu tem pravilnikom.</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11.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(prenehanje veljavnosti)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Z dnem uveljavitve tega pravilnika preneha veljati Pravilnik o označevanju vira sofinanciranja iz strateškega načrta skupne kmetijske politike 2023–2027 (Uradni list RS, št. 77/23).</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12.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(začetek veljavnosti)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Ta pravilnik začne veljati naslednji dan po objavi v Uradnem listu Republike Slovenije.</w:t>
      </w:r>
    </w:p>
    <w:p>
      <w:pPr>
        <w:pStyle w:val="evidencnastevilka"/>
        <w:spacing w:before="480" w:after="210"/>
        <w:ind w:left="0" w:right="0"/>
        <w:rPr>
          <w:rFonts w:ascii="Arial" w:eastAsia="Arial" w:hAnsi="Arial" w:cs="Arial"/>
          <w:sz w:val="21"/>
          <w:szCs w:val="21"/>
        </w:rPr>
      </w:pPr>
      <w:r>
        <w:rPr>
          <w:rFonts w:ascii="Arial" w:eastAsia="Arial" w:hAnsi="Arial" w:cs="Arial"/>
          <w:sz w:val="21"/>
          <w:szCs w:val="21"/>
        </w:rPr>
        <w:t>Št. 007-529/2024</w:t>
      </w:r>
    </w:p>
    <w:p>
      <w:pPr>
        <w:pStyle w:val="krajdatumsprejetja"/>
        <w:spacing w:before="480" w:after="210"/>
        <w:ind w:left="0" w:right="0"/>
        <w:rPr>
          <w:rFonts w:ascii="Arial" w:eastAsia="Arial" w:hAnsi="Arial" w:cs="Arial"/>
          <w:sz w:val="21"/>
          <w:szCs w:val="21"/>
        </w:rPr>
      </w:pPr>
      <w:r>
        <w:rPr>
          <w:rFonts w:ascii="Arial" w:eastAsia="Arial" w:hAnsi="Arial" w:cs="Arial"/>
          <w:sz w:val="21"/>
          <w:szCs w:val="21"/>
        </w:rPr>
        <w:t>Ljubljana, dne 17. aprila 2025</w:t>
      </w:r>
    </w:p>
    <w:p>
      <w:pPr>
        <w:pStyle w:val="evidencnastevilka"/>
        <w:spacing w:before="480" w:after="210"/>
        <w:ind w:left="0" w:right="0"/>
        <w:rPr>
          <w:rFonts w:ascii="Arial" w:eastAsia="Arial" w:hAnsi="Arial" w:cs="Arial"/>
          <w:sz w:val="21"/>
          <w:szCs w:val="21"/>
        </w:rPr>
      </w:pPr>
      <w:r>
        <w:rPr>
          <w:rFonts w:ascii="Arial" w:eastAsia="Arial" w:hAnsi="Arial" w:cs="Arial"/>
          <w:sz w:val="21"/>
          <w:szCs w:val="21"/>
        </w:rPr>
        <w:t>EVA 2024-2330-0165</w:t>
      </w:r>
    </w:p>
    <w:p>
      <w:pPr>
        <w:pStyle w:val="podpisnik"/>
        <w:spacing w:before="480" w:after="210"/>
        <w:ind w:left="5669" w:right="0"/>
        <w:rPr>
          <w:rFonts w:ascii="Arial" w:eastAsia="Arial" w:hAnsi="Arial" w:cs="Arial"/>
          <w:sz w:val="21"/>
          <w:szCs w:val="21"/>
        </w:rPr>
      </w:pPr>
      <w:r>
        <w:rPr>
          <w:rFonts w:ascii="Arial" w:eastAsia="Arial" w:hAnsi="Arial" w:cs="Arial"/>
          <w:sz w:val="21"/>
          <w:szCs w:val="21"/>
        </w:rPr>
        <w:t xml:space="preserve">Mateja Čalušić </w:t>
      </w:r>
    </w:p>
    <w:p>
      <w:pPr>
        <w:ind w:left="0" w:right="0"/>
        <w:rPr>
          <w:rFonts w:ascii="Arial" w:eastAsia="Arial" w:hAnsi="Arial" w:cs="Arial"/>
        </w:rPr>
      </w:pPr>
      <w:r>
        <w:rPr>
          <w:rFonts w:ascii="Arial" w:eastAsia="Arial" w:hAnsi="Arial" w:cs="Arial"/>
        </w:rPr>
        <w:t xml:space="preserve">ministrica </w:t>
      </w:r>
    </w:p>
    <w:p>
      <w:pPr>
        <w:ind w:left="0" w:right="0"/>
        <w:rPr>
          <w:rFonts w:ascii="Arial" w:eastAsia="Arial" w:hAnsi="Arial" w:cs="Arial"/>
        </w:rPr>
      </w:pPr>
      <w:r>
        <w:rPr>
          <w:rFonts w:ascii="Arial" w:eastAsia="Arial" w:hAnsi="Arial" w:cs="Arial"/>
        </w:rPr>
        <w:t xml:space="preserve">za kmetijstvo, gozdarstvo in prehrano </w:t>
      </w:r>
    </w:p>
    <w:p>
      <w:pPr>
        <w:pStyle w:val="priloga"/>
        <w:spacing w:before="210" w:after="210"/>
        <w:ind w:left="0" w:right="0"/>
        <w:rPr>
          <w:rFonts w:ascii="Arial" w:eastAsia="Arial" w:hAnsi="Arial" w:cs="Arial"/>
          <w:sz w:val="21"/>
          <w:szCs w:val="21"/>
        </w:rPr>
      </w:pPr>
      <w:hyperlink r:id="rId12" w:history="1">
        <w:r>
          <w:rPr>
            <w:rFonts w:ascii="Arial" w:eastAsia="Arial" w:hAnsi="Arial" w:cs="Arial"/>
            <w:color w:val="0000EE"/>
            <w:sz w:val="21"/>
            <w:szCs w:val="21"/>
            <w:u w:val="single" w:color="0000EE"/>
          </w:rPr>
          <w:t>Priloga: Tehnične značilnosti označitve vira sofinanciranja z obveznimi logotipi</w:t>
        </w:r>
      </w:hyperlink>
    </w:p>
    <w:p w:rsidR="00A77B3E"/>
    <w:sectPr>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mainText">
    <w:name w:val="mainText"/>
    <w:basedOn w:val="Normal"/>
  </w:style>
  <w:style w:type="paragraph" w:customStyle="1" w:styleId="zamik">
    <w:name w:val="zamik"/>
    <w:basedOn w:val="Normal"/>
    <w:pPr>
      <w:ind w:firstLine="1021"/>
    </w:pPr>
  </w:style>
  <w:style w:type="paragraph" w:customStyle="1" w:styleId="center">
    <w:name w:val="center"/>
    <w:basedOn w:val="Normal"/>
    <w:pPr>
      <w:jc w:val="center"/>
    </w:pPr>
  </w:style>
  <w:style w:type="paragraph" w:customStyle="1" w:styleId="alineazaodstavkom">
    <w:name w:val="alinea_za_odstavkom"/>
    <w:basedOn w:val="Normal"/>
    <w:pPr>
      <w:ind w:hanging="425"/>
      <w:jc w:val="both"/>
    </w:pPr>
  </w:style>
  <w:style w:type="paragraph" w:customStyle="1" w:styleId="crkovnatockazaodstavkom">
    <w:name w:val="crkovna_tocka_za_odstavkom"/>
    <w:basedOn w:val="Normal"/>
    <w:pPr>
      <w:ind w:hanging="425"/>
      <w:jc w:val="both"/>
    </w:pPr>
  </w:style>
  <w:style w:type="paragraph" w:customStyle="1" w:styleId="evidencnastevilka">
    <w:name w:val="evidencna_stevilka"/>
    <w:basedOn w:val="Normal"/>
    <w:pPr>
      <w:jc w:val="both"/>
    </w:pPr>
  </w:style>
  <w:style w:type="paragraph" w:customStyle="1" w:styleId="krajdatumsprejetja">
    <w:name w:val="kraj_datum_sprejetja"/>
    <w:basedOn w:val="Normal"/>
  </w:style>
  <w:style w:type="paragraph" w:customStyle="1" w:styleId="podpisnik">
    <w:name w:val="podpisnik"/>
    <w:basedOn w:val="Normal"/>
    <w:pPr>
      <w:jc w:val="center"/>
    </w:pPr>
  </w:style>
  <w:style w:type="paragraph" w:customStyle="1" w:styleId="p">
    <w:name w:val="p"/>
    <w:basedOn w:val="Normal"/>
    <w:rPr>
      <w:sz w:val="21"/>
      <w:szCs w:val="21"/>
    </w:rPr>
  </w:style>
  <w:style w:type="paragraph" w:customStyle="1" w:styleId="priloga">
    <w:name w:val="priloga"/>
    <w:basedOn w:val="Normal"/>
    <w:pPr>
      <w:pBdr>
        <w:top w:val="none" w:sz="0" w:space="24" w:color="auto"/>
        <w:bottom w:val="none" w:sz="0" w:space="3" w:color="auto"/>
      </w:pBdr>
      <w:spacing w:line="200" w:lineRule="atLeast"/>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data.europa.eu/eli/reg_impl/2024/194/oj" TargetMode="External" /><Relationship Id="rId11" Type="http://schemas.openxmlformats.org/officeDocument/2006/relationships/hyperlink" Target="https://www.skp.si" TargetMode="External" /><Relationship Id="rId12" Type="http://schemas.openxmlformats.org/officeDocument/2006/relationships/hyperlink" Target="https://pisrs.si/api/datoteke/integracije/263637427" TargetMode="External" /><Relationship Id="rId13" Type="http://schemas.openxmlformats.org/officeDocument/2006/relationships/theme" Target="theme/theme1.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data.europa.eu/eli/reg/2021/2115/oj" TargetMode="External" /><Relationship Id="rId5" Type="http://schemas.openxmlformats.org/officeDocument/2006/relationships/hyperlink" Target="http://data.europa.eu/eli/reg/2013/1305/oj" TargetMode="External" /><Relationship Id="rId6" Type="http://schemas.openxmlformats.org/officeDocument/2006/relationships/hyperlink" Target="http://data.europa.eu/eli/reg/2013/1307/oj" TargetMode="External" /><Relationship Id="rId7" Type="http://schemas.openxmlformats.org/officeDocument/2006/relationships/hyperlink" Target="http://data.europa.eu/eli/reg/2024/1468/oj" TargetMode="External" /><Relationship Id="rId8" Type="http://schemas.openxmlformats.org/officeDocument/2006/relationships/hyperlink" Target="http://data.europa.eu/eli/reg/2021/2116/oj" TargetMode="External" /><Relationship Id="rId9" Type="http://schemas.openxmlformats.org/officeDocument/2006/relationships/hyperlink" Target="http://data.europa.eu/eli/reg_impl/2022/129/oj"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PRAV15604 NPB0</dc:title>
  <cp:revision>1</cp:revision>
</cp:coreProperties>
</file>