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pStyle w:val="textJustify"/>
        <w:pBdr>
          <w:top w:val="none" w:sz="0" w:space="24" w:color="auto"/>
        </w:pBdr>
        <w:spacing w:before="0" w:after="210"/>
        <w:ind w:left="0" w:right="0"/>
        <w:rPr>
          <w:rFonts w:ascii="Arial" w:eastAsia="Arial" w:hAnsi="Arial" w:cs="Arial"/>
          <w:color w:val="808080"/>
          <w:sz w:val="21"/>
          <w:szCs w:val="21"/>
        </w:rPr>
      </w:pPr>
      <w:r>
        <w:rPr>
          <w:rFonts w:ascii="Arial" w:eastAsia="Arial" w:hAnsi="Arial" w:cs="Arial"/>
          <w:color w:val="808080"/>
          <w:sz w:val="21"/>
          <w:szCs w:val="21"/>
        </w:rPr>
        <w:t>Opozorilo: Besedilo osnovnega predpisa z vključenim popravkom</w:t>
      </w:r>
    </w:p>
    <w:p>
      <w:pPr>
        <w:pStyle w:val="zamik"/>
        <w:pBdr>
          <w:top w:val="none" w:sz="0" w:space="24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Na podlagi drugega odstavka 14. točke navodila o unovčevanju akceptnih nalogov v bankah v prehodnem obdobju (Uradni list RS, št. 65/00) objavlja Banka Slovenije podatke o pravnih osebah, ki bodo v naslednjem tednu zaprle račun pri Agenciji RS za plačilni promet in odprle transakcijski račun v banki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SEZNAM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pravnih oseb, ki bodo prenesle račun v bančno okolje v obdobju od 22. do 28. 1. 2001</w:t>
      </w:r>
    </w:p>
    <w:tbl>
      <w:tblPr>
        <w:tblInd w:w="113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3"/>
        <w:gridCol w:w="3864"/>
      </w:tblGrid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top w:val="single" w:sz="8" w:space="0" w:color="000000"/>
              <w:bottom w:val="single" w:sz="8" w:space="0" w:color="00000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Naziv pravne osebe2                   </w:t>
            </w:r>
          </w:p>
        </w:tc>
        <w:tc>
          <w:tcPr>
            <w:tcW w:w="3769" w:type="dxa"/>
            <w:tcBorders>
              <w:top w:val="single" w:sz="8" w:space="0" w:color="000000"/>
              <w:bottom w:val="single" w:sz="8" w:space="0" w:color="00000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Transakcijski račun v banki</w:t>
            </w:r>
          </w:p>
        </w:tc>
      </w:tr>
      <w:tr>
        <w:tblPrEx>
          <w:tblInd w:w="113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96" w:type="dxa"/>
            <w:tcBorders>
              <w:bottom w:val="single" w:sz="8" w:space="0" w:color="00000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spacing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 FORM D.O.O.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ADLER &amp; CO D.O.O.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ADRIA-TOW D.O.O.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ADUT D.O.O. ŠTORE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AGROPROTECT D.O.O                               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AL D.O.O.   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AL D.O.O.   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ALLEGRO D.O.O.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ALPHA D.O.O.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APEL SERVIS D.O.O.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ARMANI COMPUTERS D.O.O.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ARTEX D.O.O.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AS &amp; CO     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ATRIUM - NOVI INTERIERI D.O.O.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AUROBOJAN D.O.O. ŠMARTNO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V ROŽNI DOLONI                                  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AUTO AGRA D.O.O.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AVTODELI REGNEMER D.O.O. CELJE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AVTOTRADE D.O.O.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BAKHUS D.O.O.,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BALING D.O.O.                                   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BELECO D.O.O. SLOVENSKE KONJICE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BIRO SET HRASTNIK D.O.O.,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BLIP MARKT D.O.O.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BOMEX D.O.O.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BUSINESS SOLUTIONS D.O.O.                       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C.I.M.E.-2000 D.O.O.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CBL, D.O.O. 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COSMOS D.O.O.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DABI D.O.O. 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DECOP D.O.O. ŽELEZNIKI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DESUS, OBMOČNI ODBOR CELJE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DOLEJŠI MODNI GUMBI D.O.O.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ECUM RRF D.O.O.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EKOS SLOVENIJA AVTO D.O.O.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ELCON - LUŽAR K.D.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ELPRO LEPENIK IN CO.DNO.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EM-VITOŠ ZUPAN K.D.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EPOS-PLUS D.O.O.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EUROLUX D.O.O.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EVROLINK D.O.O.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FA &amp; MA D.O.O. RADOVLJICA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FEREX D.O.O.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FERIT D.O.O.AJDOVŠČINA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FERMUS D.O.O.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FIGARO D.O.O.AJDOVŠČINA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FIN-IUS D.O.O.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FISPAT D.O.O.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FRYMA D.O.O.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GALAXIS D.O.O.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GEOHIT D.O.O.                                   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GLASDECOM D.O.O.,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GLM - JOŽEF LOVŠE D.O.O.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CERKLJE OB KRKI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GOZNIKAR D.O.O.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GRIN D.O.O. 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HABULIN D.O.O.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HAN D.O.O.  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HEKER D.O.O.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HPE D.O.O.  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IMOS INVESTICIJSKE GRADNJE D.D.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INDRA D.O.O.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INŠTITUT ZA RAZVOJ PODJETNIŠTVA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ISKRAEMECO, D.D. KRANJ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ITU-IMEX D.O.O.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JADRAN D.D. 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JADRAN D.D.                                     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JAKUSI'S D.O.O.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JURCA JANEZ D.O.O.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KAJA-FEKONJA D.O.O.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KAJZLER D.O.O. ŠENTJUR PRI CELJU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KARIN D.O.O.                                    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KLASS D.O.O.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KOLIBRI D.O.O.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KOMPLET D.O.O.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KON TIKI SOLAR D.O.O.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KOVINOCROM D.O.O. JESENICE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NA DOLENJSKEM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LEJLA D.O.O.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LESIMPEX D.O.O.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LOGISTIC SERVICE KOPER D.O.O.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LOVSKA DRUŽINA PEČAROVCI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LOVSKA DRUŽINA DRAMLJE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LOVSKA DRUŽINA MLAJTINCI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LOVSKA DRUŽINA MORAVCI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LOVSKA DRUŽINA RANKOVCI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LUKA KOPER INPO D.O.O.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LUKA KOPER PRISTAN D.O.O.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LUPUS D.O.O.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MARKELJ &amp; CO D.N.O.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MARLES D.D. 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MEDIA UMETNOST D.O.O.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MEGA LINE D.O.O.                                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MERKABA D.O.O.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METALMARKET D.O.O.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MEVI D.O.O. 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MINIGRAFIJA D.O.O.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MINTEX D.O.O.                                   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MIZARSTVO VRH GUČEK-ZALOKAR D.O.O.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BOŠTANJ     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MK IDEAL D.D. NOVA GORICA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MMTV1 D.O.O.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MULTICHEM LTD.                                  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MVG D.O.O.  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NIAGARA D.O.O.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NIKO D.O.O. 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NOGOMETNI KLUB GRAD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NUBIS D.O.O.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NUBIS D.O.O.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O.K.M D.O.O.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OBČINSKI ODBOR SDS CERKNO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OBMOČNA OBRTNA ZBORNICA IDRIJA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ONDA D.O.O. NOVA GORICA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OPCIA BREŽICE D.O.O.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ORO D.O.O.  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PACIFIC D.O.O.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PARTNER D.O.O.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PAVČNIK D.O.O.,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PECA COMMERCE D.O.O.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PEKARNA RADLJE D.O.O.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PEVSKO DRUŠTVO KOMORNI MOŠKI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ZBOR CELJE  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PIŠTEK ELEKTRO D.O.O.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PLAMA G.E.O. D.O.O.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PLANINSKO DRUŠTVO AJDOVŠČINA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PMP D.O.O.                                      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PMR D.O.O. KAPELE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PONOVKA D.O.O.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POTENS D.O.O.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PRELEST D.O.O.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PRIKEM D.O.O.                                   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PRISTOVNIK D.O.O. CELJE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PROJEKT-INVEST D.O.O.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PROSTA CONA KOPER D.O.O.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PROSTOVOLJNO GASILSKO DRUŠTVO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ŠEBRELJE    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PUCELJ &amp; ERKER D.O.O.                           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RAIFFEISEN LEASING D.O.O.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RAMS D.O.O. 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RENATA TRADE D.O.O.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ROTOMATIKA D.O.O.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ROTOMATIKA D.O.O.                               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SANTRA D.O.O.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SCHWARZ D.O.O.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SECOM D.O.O.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SIND. DOM OSKRBOVANCEV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SIND. PODJ. KG RAKIČAN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SIND. PODJ. KG RAKIČAN PODRUŽNICA PC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POLJEDELSTVO IN GOVEDOREJA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SIND. VIZ OSNOVNE ŠOLE III.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SINDIKAT OŠ VIDEM OB ŠČAVNICI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SINDIKAT SGP GORICA D.O.O.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SITONA D.O.O.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SKALA D.O.O.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SORGO D.O.O.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STG PLIN D.O.O.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STUDIO GRAFIT D.O.O.                            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STUPO D.O.O.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SŽ ACRONI, D.O.O.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TABAKUM D.O.O.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TEHIMPEX D.O.O. AJDOVŠČINA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TELEKOMUNIKACIJE STROJAN D.O.O.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TEMARK D.O.O. CELJE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TEMPO-PUNGARŠEK&amp;COMPANY K.D.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TERMO SHOP D.O.O.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TOK D.O.O.  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TOSAMA D.D. 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TRAKO POSL.STOR. D.O.O.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 COMMERCE D.O.O.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VELUŠČEK K.D.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VERMEI D.O.O.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VGB MARIBOR D.D.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VI-BO D.O.O.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VIRUS INTERNATIONAL D.O.O.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VRBNJAK D.O.O.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WALCH D.O.O.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YESSEL D.O.O.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ZAP D.O.O.                                       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ZVEZA ČEBELARSKIH DRUŠTEV                        </w:t>
            </w:r>
          </w:p>
          <w:p>
            <w:pPr>
              <w:pStyle w:val="p"/>
              <w:spacing w:before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ŽOLNIR D.O.O.                                    </w:t>
            </w:r>
          </w:p>
        </w:tc>
        <w:tc>
          <w:tcPr>
            <w:tcW w:w="3769" w:type="dxa"/>
            <w:tcBorders>
              <w:bottom w:val="single" w:sz="8" w:space="0" w:color="00000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  <w:hideMark/>
          </w:tcPr>
          <w:p>
            <w:pPr>
              <w:pStyle w:val="p"/>
              <w:spacing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02010-0013203509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02085-0013460085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10100-0000004942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06000-0070484961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12343-0018175849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14000-0546566467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10100-0011158875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11970-0011998736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11970-0016532516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02010-0014187283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02085-0012216545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12342-0013727284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02085-0010234059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17000-0000011774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06000-0117822998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12340-0010243433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06000-0503830812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30000-0003505810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26331-0011691098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12342-0018575926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06000-0106366910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26331-0011388846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03170-1012127456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04750-0000132941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03130-1061273011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04750-0000133911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02011-0090033571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12340-0020158773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11430-0020096760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07000-0000033749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06000-0004419910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13426-0016305681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27000-0000054886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02085-0015425014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02010-0089837874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25100-9706553187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26331-0050778606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02085-0016898735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02010-0015120326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04802-0000134273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07000-0000033652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07000-0000011730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14000-0535445514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03106-1012320712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04751-0000133086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14000-0561554228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03113-1006454876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90672-0000002874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17000-0000023608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11970-0035518132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26331-0014062166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02373-0051158506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03110-1061085617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03121-1008318533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05100-8010016406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04202-0000134670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27000-0000023458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29000-0055040567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33000-4700272731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02010-0015622495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02010-0090022368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07000-0000002127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03134-1012638470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10100-0000009016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02236-0010603214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02032-0089310959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02059-0014532821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12341-0016896323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06000-0069506813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10100-0000052666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03130-1061104134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03157-1008264680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05100-8000073809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02312-0011814706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02373-0010452844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11970-0011156679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03130-1005933153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10100-0000003390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12340-0017260510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06000-0007918991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12340-0014322186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12340-0016380623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12340-0018752467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10100-0000003293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10100-0000003584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12341-0015621646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02085-0035505081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02280-0017908553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02014-0014807305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02036-0035251208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04302-0000133844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10100-0000057419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04515-0000133495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14000-543379726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02312-0012823603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02379-0019116202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02241-0012920396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02036-0011032539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29000-0003290776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02022-0011159325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04515-0000134465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10100-0000021917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12345-0020073459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27000-0000037426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02921-0018447310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14000-0547121404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04752-0000133716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04752-0000134395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14000-0540174749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03157-1012547327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30000-0003535977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10100-0000058777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11430-0010909502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26331-0018252566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20470-0020051694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20470-0018841619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06000-0041410763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12340-0010082607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14000-0504227519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04751-0000132795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04430-0000132810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02373-0035397752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02022-0017151306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90672-0000003068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10100-0000038310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04750-0000132650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06000-0112630006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12341-0017449223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10100-0029008233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04752-0000132358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02312-0011791814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02010-0089710804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25100-9700327145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12342-0050955496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02921-0011071042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14000-0504539859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90672-0000002777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29000-0003262840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30000-0003638312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12340-0019815102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12340-0017550055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12340-0012106221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12340-0019820728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12341-0014404684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14000-0123033621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13426-0011280790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03157-1006214876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10100-0000038116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05100-8000062557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03100-1012798828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03103-1009036245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07000-0000006298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11970-0010429470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14000-0556000493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25100-9700525122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06000-0061947797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10100-0029007166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24302-9003959694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29000-0001842372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18300-0012306650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25100-9704938137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12340-0019362694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05100-8010015824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03100-1007337825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03121-1006463796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03108-1012578925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02085-0012295891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12343-0012731821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25100-9704382133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30000-0002364314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12340-0015088486</w:t>
            </w:r>
          </w:p>
          <w:p>
            <w:pPr>
              <w:pStyle w:val="p"/>
              <w:spacing w:before="210" w:after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12340-0012874946</w:t>
            </w:r>
          </w:p>
          <w:p>
            <w:pPr>
              <w:pStyle w:val="p"/>
              <w:spacing w:before="210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</w:rPr>
              <w:t>04750-0000134784</w:t>
            </w:r>
          </w:p>
        </w:tc>
      </w:tr>
    </w:tbl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> 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Preostali podatki za pravne osebe, ki bodo prenesle račun v bančno okolje v obdobju od 22. do 28. 1. 2001 so na internetni strani Banke Slovenije: http://www.bsi.si/html/ps/migracija/</w:t>
      </w:r>
    </w:p>
    <w:p>
      <w:pPr>
        <w:pStyle w:val="krajdatumsprejetja"/>
        <w:spacing w:before="48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Ljubljana, dne 16. januarja 2001.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dr. France Arhar l. r.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Guverner</w:t>
      </w:r>
    </w:p>
    <w:p>
      <w:pPr>
        <w:pStyle w:val="podpisnik"/>
        <w:spacing w:before="480" w:after="210"/>
        <w:ind w:left="5669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Banka Slovenije</w:t>
      </w:r>
    </w:p>
    <w:p w:rsidR="00A77B3E"/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ainText">
    <w:name w:val="mainText"/>
    <w:basedOn w:val="Normal"/>
  </w:style>
  <w:style w:type="paragraph" w:customStyle="1" w:styleId="textJustify">
    <w:name w:val="textJustify"/>
    <w:basedOn w:val="Normal"/>
    <w:pPr>
      <w:jc w:val="both"/>
    </w:pPr>
  </w:style>
  <w:style w:type="paragraph" w:customStyle="1" w:styleId="zamik">
    <w:name w:val="zamik"/>
    <w:basedOn w:val="Normal"/>
    <w:pPr>
      <w:ind w:firstLine="1021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tabela">
    <w:name w:val="tabela"/>
    <w:basedOn w:val="Normal"/>
  </w:style>
  <w:style w:type="paragraph" w:customStyle="1" w:styleId="p">
    <w:name w:val="p"/>
    <w:basedOn w:val="Normal"/>
    <w:rPr>
      <w:sz w:val="21"/>
      <w:szCs w:val="21"/>
    </w:rPr>
  </w:style>
  <w:style w:type="paragraph" w:customStyle="1" w:styleId="krajdatumsprejetja">
    <w:name w:val="kraj_datum_sprejetja"/>
    <w:basedOn w:val="Normal"/>
  </w:style>
  <w:style w:type="paragraph" w:customStyle="1" w:styleId="podpisnik">
    <w:name w:val="podpisnik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DRUG1043 NPB0</dc:title>
  <cp:revision>1</cp:revision>
</cp:coreProperties>
</file>