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pogojih za izvajanje knjižnične dejavnosti kot javne službe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pogojih za izvajanje knjižnične dejavnosti kot javne službe (Uradni list RS, št. 73/03 z dne 29. 7. 2003),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pogojih za izvajanje knjižnične dejavnosti kot javne službe (Uradni list RS, št. 70/08 z dne 11. 7.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pogojih za izvajanje knjižnične dejavnosti kot javne službe (Uradni list RS, št. 80/12 z dne 26. 10.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pogojih za izvajanje knjižnične javne službe (Uradni list RS, št. 28/23 z dne 3. 3. 2023).</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pogojih za izvajanje knjižnične dejavnosti kot javne službe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3)</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delno 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SPLOŠNE KNJIŽNICE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prenehalo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ŠOLSKE KNJIŽNICE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Šolska knjižnica zagotavlja knjižnično gradivo za učence, dijake, študente in vajence (v nadaljnjem besedilu: učence) ter strokovne delavce šole. Šolska knjižnica mora imeti najmanj 3000 enot gradiva za učence in 1000 enot pedagoške in strokovne literature za strokovne delavce, oziroma v šolah, ki imajo več kot 300 učencev, najmanj 10 knjig na učenca in najmanj 40 knjig na strokovnega delavca šole ter ustrezno število serijskih publikacij, ki ne sme biti manjše od 25 tekoče naročenih naslovov.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drugega odstavka tega člena mora imeti šolska knjižnica v glasbeni šoli in dijaškem domu z manj kot 300 učenci oziroma dijaki najmanj 1500 enot gradiva za učence oziroma dijake in najmanj 500 enot pedagoške in strokovne literature za strokovne delavce. Šolska knjižnica v glasbeni šoli oziroma dijaškem domu z več kot 300 učenci oziroma dijaki pa mora imeti najmanj 3000 enot gradiva za učence oziroma dijake in najmanj 1000 enot pedagoške in strokovne literature za strokovne delavce.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Knjižnično zbirko dopolnjuje z najmanj 1 knjigo na učenca, 5 knjigami na strokovnega delavca šole in posodablja z vsaj 1 naslovom serijskih publikacij letno. Število izvodov tekoče naročenih naslovov serijskih publikacij je odvisno od velikosti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Prirast neknjižnega gradiva obsega najmanj 10% skupnega prirasta gradiva v knjižnici.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Navedene minimalne količine gradiv veljajo za šolo kot celoto, vključno s podružnicami, organizacijskimi enotami, enotami in dislociranimi oddelki.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Knjižnična zbirka šolske knjižnice mora biti v skladu s programi, ki jih šola izvaja, in z učnimi načrti. Ob spremembi programov šole knjižnica zagotavlja ustrezno knjižnično gradivo za poučevanje in učenje po novih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Knjižnica ima ustrezno leposlovno in strokovno gradivo, gradivo v tujih jezikih, ki se poučujejo na šoli, ustrezno referenčno gradivo, zbirko gradiva, ki nastaja na šoli, strokovno gradivo s področja pedagogike, metodike, didaktike, sociologije, psihologije, bibliotekarstva in informacijskih znanosti ter strokovno, pedagoško in poljudnoznanstveno periodiko za otroke in mladino.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Knjižnično zbirko knjižnice v osnovni šoli, zavodu za vzgojo in izobraževanje otrok in mladine s posebnimi potrebami in dijaškem domu sestavlja okvirno 60% naslovov leposlovnega in 40% naslovov strokovnega gradiva, v knjižnici srednje šole je to razmerje 50% proti 50%. Knjižnično zbirko v knjižnici glasbene šole sestavlja strokovno gradivo. Šola zagotavlja strokovno gradivo, ki je povezano z njenim učnim programom in pedagoškim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Knjižnično zbirko knjižnice na višji strokovni šoli sestavlja strokovno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Referenčno gradivo v prezenčni izposoji obsega vsaj 10% knjižnične zbirke.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Serijske publikacije morajo zajemati vsa področja iz programa oziroma programov šole vsaj z 1 naslovom.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knjižnici osnovne šole je gradivo za učence postavljeno ločeno od gradiva za strokovne delavce.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Leposlovno gradivo za učence je v prostem pristopu razvrščeno po starostnih stopnjah. Ljudsko slovstvo ter leposlovje v tujih jezikih je postavljeno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Strokovno gradivo je praviloma urejeno po sistemu UDK (univerzalna decimalna klasifikacija). Poučno gradivo za otroke in mladino je urejeno in postavljeno po prilagojenem sistemu UDK.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knjižnici srednje šole oziroma višje strokovne šole je gradivo postavljeno skupaj za dijake oziroma študente in strokovne delavce in je praviloma razvrščeno po sistemu UDK.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Šolska knjižnica ima računalniški katalog oziroma listkovni abecedni imenski in sistematski katalog po sistemu UDK za gradivo, ki še ni računalniško obdelano.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Število zaposlenih v knjižnicah osnovne šole, srednje šole, glasbene šole, višje strokovne šole, zavoda za vzgojo in izobraževanje otrok in mladostnikov s posebnimi potrebami ter dijaškega doma določajo predpisi s področja šolstva.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šolska knjižnica mora imeti takšne prostorske pogoje, ki omogočajo varno in pregledno ureditev knjižničnega gradiva in tehnične opreme, delo zaposlenih in nemoteno uporabo knjižničnega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Knjižnica v šoli z 20 oddelki meri najmanj 80 m2. V podružnični šoli ali dislocirani enoti z najmanj štirimi oddelki mora biti knjižnični dejavnosti v okviru šolskih prostorov zagotovljen ustrezen prostor za računalniško in komunikacijsko opremo, za izposojo gradiva in izvajanje knjižničnih informacijskih znanj.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načrtovanje oziroma gradnjo novih prostorov veljajo določila razvojnih normativov iz 37. člena zakona ter standardov in strokovnih priporočil iz 11. člena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Knjižnica mora v prostorih knjižnice ali v okviru šole zagotavljati dostop do opreme za uporabo vseh vrst gradiva, ki je v njeni ponudbi.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dejavnost šolske knjižnice je potrebno zagotoviti naslednjo opremo: telefon, dostop do telefaxa, možnost uporabe preslikovalnega stroja, dostop do druge opreme za reproduciranje gradiva šolske knjižnice, ustrezno število multimedijskih osebnih računalnikov za delo knjižničarjev, za uporabnike pa ustrezno število računalnikov za iskanje informacij in individualno učenje, z ustrezno programsko opremo, vendar najmanj en računalnik za vsakega zaposlenega knjižničarja in najmanj en računalnik za uporabnike z dostopom do svetovnega spleta.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Šolska knjižnica deluje v osnovnih šolah in podružnicah osnovnih šol ter vrtcih; v srednjih šolah (splošnih in strokovnih gimnazijah, poklicnih srednjih šolah ter srednjih tehničnih in srednjih strokovnih šolah) in dislociranih enotah srednjih šol, v višjih strokovnih šolah, zavodih za vzgojo in izobraževanje otrok in mladostnikov s posebnimi potrebami; domovih za učence in dijaških domovih ter v glasbenih šolah.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VISOKOŠOLSKE KNJIŽNICE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prenehalo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SPECIALNE KNJIŽNICE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prenehalo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NACIONALNA KNJIŽNICA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prenehalo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POSTOPEK UGOTAVLJANJA IZPOLNJEVANJA POGOJEV ZA IZVAJANJE KNJIŽNIČNE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prenehalo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anchor="68.%20člen"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r>
        <w:rPr>
          <w:rFonts w:ascii="Arial" w:eastAsia="Arial" w:hAnsi="Arial" w:cs="Arial"/>
          <w:sz w:val="21"/>
          <w:szCs w:val="21"/>
        </w:rPr>
        <w:t xml:space="preserve">Priloga 1: Mreža splošnih knjižnic v Sloveniji ( </w:t>
      </w:r>
      <w:hyperlink r:id="rId4" w:anchor="68.%20člen" w:history="1">
        <w:r>
          <w:rPr>
            <w:rFonts w:ascii="Arial" w:eastAsia="Arial" w:hAnsi="Arial" w:cs="Arial"/>
            <w:color w:val="0000EE"/>
            <w:sz w:val="21"/>
            <w:szCs w:val="21"/>
            <w:u w:val="single" w:color="0000EE"/>
          </w:rPr>
          <w:t>prenehala veljati</w:t>
        </w:r>
      </w:hyperlink>
      <w:r>
        <w:rPr>
          <w:rFonts w:ascii="Arial" w:eastAsia="Arial" w:hAnsi="Arial" w:cs="Arial"/>
          <w:sz w:val="21"/>
          <w:szCs w:val="21"/>
        </w:rPr>
        <w:t>)</w:t>
      </w:r>
    </w:p>
    <w:p>
      <w:pPr>
        <w:pStyle w:val="p"/>
        <w:spacing w:before="210" w:after="210"/>
        <w:ind w:left="0" w:right="0"/>
        <w:rPr>
          <w:rFonts w:ascii="Arial" w:eastAsia="Arial" w:hAnsi="Arial" w:cs="Arial"/>
          <w:sz w:val="21"/>
          <w:szCs w:val="21"/>
        </w:rPr>
      </w:pPr>
      <w:r>
        <w:pict>
          <v:rect id="_x0000_i1026"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pogojih za izvajanje knjižnične dejavnosti kot javne službe (Uradni list RS, št. </w:t>
      </w:r>
      <w:hyperlink r:id="rId5" w:history="1">
        <w:r>
          <w:rPr>
            <w:rStyle w:val="MsoHyperlink"/>
            <w:rFonts w:ascii="Arial" w:eastAsia="Arial" w:hAnsi="Arial" w:cs="Arial"/>
            <w:b w:val="0"/>
            <w:bCs w:val="0"/>
            <w:color w:val="0000EE"/>
            <w:u w:val="single" w:color="0000EE"/>
          </w:rPr>
          <w:t>73/03</w:t>
        </w:r>
      </w:hyperlink>
      <w:r>
        <w:rPr>
          <w:rFonts w:ascii="Arial" w:eastAsia="Arial" w:hAnsi="Arial" w:cs="Arial"/>
        </w:rPr>
        <w:t>) vsebuje naslednje prehodne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delavci iz drugega odstavka 14. člena tega pravilnika, ki v času uveljavitve pravilnika ne izpolnjujejo pogojev glede stopnje izobrazbe, morajo te pogoje izpolniti v petih letih od uveljavitve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Zadnji odstavki 11., 12., 14., 15., 17. člena začnejo veljati po sklenitvi pogodbe med ministrstvom za kulturo in območno knjižnico. Knjižnica opravlja posebne naloge območne knjižnice v obsegu, ki ga določa pogodba.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Mnenje o izpolnjevanju pogojev za izvajanje knjižnične dejavnosti za izdajo prvih odločb za prvi vpis v razvid knjižnic izda NUK na podlagi podatkov, ki jih je pridobil od knjižnic na posebnem obrazcu (vprašalniku) o stanju za leto 2002 oziroma za knjižnice, ki ne poročajo vsako leto, po zadnjem evidentiranem stanju pred uveljavitvijo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splošno knjižnico je do uskladitve organiziranosti z 19. členom zakona, za pravilnost podatkov in za pravočasno posredovanje izpolnjenih vprašalnikov v NUK odgovoren direktor javnega zavoda, katerega del je knjižnica.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Novoustanovljenim knjižnicam, vključno s knjižnicami, ki pridobijo soglasje pristojnega ministrstva za izvajanje javne službe na podlagi koncesije, se prva odločba izda za začetek izvajanja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Novoustanovljene knjižnice morajo doseči minimalni obseg zbirke, določen v tem pravilniku, v roku 9 let od svoje ustanovitve, razen splošnih knjižnic, ki morajo ta pogoj izpolnjevati že ob začetku svojega delovanja.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Katalog aktivnega dela knjižnične zbirke knjižnice, razen šolske knjižnice v osnovnih šolah in dijaških domovih, mora biti javno dostopen v vzajemnem bibliografskem sistemu ali preko svetovnega spleta najkasneje v roku 6 let od uveljavitve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Krajevne knjižnice oziroma izposojevališča se vključijo v vzajemni bibliografski sistem najkasneje v treh letih od uveljavitve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preneha veljati pravilnik o strokovnih in tehničnih pogojih za začetek dela knjižnic (Uradni list SRS, št. 28/85).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Mreža splošnih knjižnic je priloga in sestavni del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
        <w:spacing w:before="210" w:after="210"/>
        <w:ind w:left="0" w:right="0"/>
        <w:rPr>
          <w:rFonts w:ascii="Arial" w:eastAsia="Arial" w:hAnsi="Arial" w:cs="Arial"/>
          <w:sz w:val="21"/>
          <w:szCs w:val="21"/>
        </w:rPr>
      </w:pPr>
      <w:r>
        <w:pict>
          <v:rect id="_x0000_i1027"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spremembah in dopolnitvah Pravilnika o pogojih za izvajanje knjižnične dejavnosti kot javne službe (Uradni list RS, št. </w:t>
      </w:r>
      <w:hyperlink r:id="rId6" w:history="1">
        <w:r>
          <w:rPr>
            <w:rFonts w:ascii="Arial" w:eastAsia="Arial" w:hAnsi="Arial" w:cs="Arial"/>
            <w:b w:val="0"/>
            <w:bCs w:val="0"/>
            <w:color w:val="0000EE"/>
            <w:u w:val="single" w:color="0000EE"/>
          </w:rPr>
          <w:t>70/08</w:t>
        </w:r>
      </w:hyperlink>
      <w:r>
        <w:rPr>
          <w:rFonts w:ascii="Arial" w:eastAsia="Arial" w:hAnsi="Arial" w:cs="Arial"/>
        </w:rPr>
        <w:t>)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
        <w:spacing w:before="210" w:after="210"/>
        <w:ind w:left="0" w:right="0"/>
        <w:rPr>
          <w:rFonts w:ascii="Arial" w:eastAsia="Arial" w:hAnsi="Arial" w:cs="Arial"/>
          <w:sz w:val="21"/>
          <w:szCs w:val="21"/>
        </w:rPr>
      </w:pPr>
      <w:r>
        <w:pict>
          <v:rect id="_x0000_i1028"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Pravilnik o spremembah in dopolnitvah Pravilnika o pogojih za izvajanje knjižnične dejavnosti kot javne službe (Uradni list RS, št. </w:t>
      </w:r>
      <w:hyperlink r:id="rId7" w:history="1">
        <w:r>
          <w:rPr>
            <w:rFonts w:ascii="Arial" w:eastAsia="Arial" w:hAnsi="Arial" w:cs="Arial"/>
            <w:b w:val="0"/>
            <w:bCs w:val="0"/>
            <w:color w:val="0000EE"/>
            <w:u w:val="single" w:color="0000EE"/>
          </w:rPr>
          <w:t>80/12</w:t>
        </w:r>
      </w:hyperlink>
      <w:r>
        <w:rPr>
          <w:rFonts w:ascii="Arial" w:eastAsia="Arial" w:hAnsi="Arial" w:cs="Arial"/>
        </w:rPr>
        <w:t>)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
        <w:spacing w:before="210" w:after="210"/>
        <w:ind w:left="0" w:right="0"/>
        <w:rPr>
          <w:rFonts w:ascii="Arial" w:eastAsia="Arial" w:hAnsi="Arial" w:cs="Arial"/>
          <w:sz w:val="21"/>
          <w:szCs w:val="21"/>
        </w:rPr>
      </w:pPr>
      <w:r>
        <w:pict>
          <v:rect id="_x0000_i1029"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Style w:val="A8"/>
          <w:rFonts w:ascii="Arial" w:eastAsia="Arial" w:hAnsi="Arial" w:cs="Arial"/>
          <w:color w:val="000000"/>
        </w:rPr>
        <w:t>Pravilnik o pogojih za izvajanje knjižnične javne službe</w:t>
      </w:r>
      <w:r>
        <w:rPr>
          <w:rFonts w:ascii="Arial" w:eastAsia="Arial" w:hAnsi="Arial" w:cs="Arial"/>
        </w:rPr>
        <w:t xml:space="preserve"> </w:t>
      </w:r>
      <w:r>
        <w:rPr>
          <w:rStyle w:val="A8"/>
          <w:rFonts w:ascii="Arial" w:eastAsia="Arial" w:hAnsi="Arial" w:cs="Arial"/>
          <w:color w:val="000000"/>
        </w:rPr>
        <w:t xml:space="preserve">(Uradni list RS, št. </w:t>
      </w:r>
      <w:hyperlink r:id="rId4" w:history="1">
        <w:r>
          <w:rPr>
            <w:rStyle w:val="A8"/>
            <w:rFonts w:ascii="Arial" w:eastAsia="Arial" w:hAnsi="Arial" w:cs="Arial"/>
            <w:color w:val="0000EE"/>
            <w:u w:val="single" w:color="0000EE"/>
          </w:rPr>
          <w:t>28/23</w:t>
        </w:r>
      </w:hyperlink>
      <w:r>
        <w:rPr>
          <w:rStyle w:val="A8"/>
          <w:rFonts w:ascii="Arial" w:eastAsia="Arial" w:hAnsi="Arial" w:cs="Arial"/>
          <w:color w:val="000000"/>
        </w:rPr>
        <w:t>) v zvezi z delnim prenehanjem veljavnosti določb pravilnika določa:</w:t>
      </w:r>
    </w:p>
    <w:p>
      <w:pPr>
        <w:pStyle w:val="p"/>
        <w:spacing w:before="210" w:after="210"/>
        <w:ind w:left="0" w:right="0"/>
        <w:rPr>
          <w:rFonts w:ascii="Arial" w:eastAsia="Arial" w:hAnsi="Arial" w:cs="Arial"/>
          <w:sz w:val="21"/>
          <w:szCs w:val="21"/>
        </w:rPr>
      </w:pPr>
      <w:r>
        <w:rPr>
          <w:rFonts w:ascii="Arial" w:eastAsia="Arial" w:hAnsi="Arial" w:cs="Arial"/>
          <w:b w:val="0"/>
          <w:bCs w:val="0"/>
        </w:rPr>
        <w:t>»</w:t>
      </w:r>
      <w:r>
        <w:rPr>
          <w:rFonts w:ascii="Arial" w:eastAsia="Arial" w:hAnsi="Arial" w:cs="Arial"/>
        </w:rPr>
        <w:t xml:space="preserve"> </w:t>
      </w:r>
      <w:r>
        <w:rPr>
          <w:rFonts w:ascii="Arial" w:eastAsia="Arial" w:hAnsi="Arial" w:cs="Arial"/>
          <w:b w:val="0"/>
          <w:bCs w:val="0"/>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prenehata veljati Pravilnik o pogojih za izvajanje knjižnične dejavnosti kot javne službe (Uradni list RS, št. 73/03, 70/08 in 80/12), razen poglavja Šolske knjižnice, in Pravilnik o osrednjih območnih knjižnicah (Uradni list RS, št. 88/03).«;</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w:t>
      </w:r>
      <w:r>
        <w:rPr>
          <w:rFonts w:ascii="Arial" w:eastAsia="Arial" w:hAnsi="Arial" w:cs="Arial"/>
        </w:rPr>
        <w:t xml:space="preserve"> </w:t>
      </w:r>
      <w:r>
        <w:rPr>
          <w:rFonts w:ascii="Arial" w:eastAsia="Arial" w:hAnsi="Arial" w:cs="Arial"/>
          <w:b w:val="0"/>
          <w:bCs w:val="0"/>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 w:type="character" w:customStyle="1" w:styleId="MsoHyperlink">
    <w:name w:val="MsoHyperlink"/>
    <w:basedOn w:val="DefaultParagraphFont"/>
  </w:style>
  <w:style w:type="character" w:customStyle="1" w:styleId="A8">
    <w:name w:val="A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radni-list.si/1/objava.jsp?sop=2023-01-0538" TargetMode="External" /><Relationship Id="rId5" Type="http://schemas.openxmlformats.org/officeDocument/2006/relationships/hyperlink" Target="http://www.uradni-list.si/1/objava.jsp?urlid=200373&amp;stevilka=3540" TargetMode="External" /><Relationship Id="rId6" Type="http://schemas.openxmlformats.org/officeDocument/2006/relationships/hyperlink" Target="http://www.uradni-list.si/1/objava.jsp?urlid=200870&amp;stevilka=3046" TargetMode="External" /><Relationship Id="rId7" Type="http://schemas.openxmlformats.org/officeDocument/2006/relationships/hyperlink" Target="http://www.uradni-list.si/1/objava.jsp?urlid=201280&amp;stevilka=3135"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PRAV5163 NPB3</dc:title>
  <cp:revision>1</cp:revision>
</cp:coreProperties>
</file>