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zamik"/>
        <w:pBdr>
          <w:top w:val="none" w:sz="0" w:space="24" w:color="auto"/>
        </w:pBdr>
        <w:spacing w:before="0" w:after="210"/>
        <w:ind w:left="0" w:right="0"/>
        <w:jc w:val="both"/>
        <w:rPr>
          <w:rFonts w:ascii="Arial" w:eastAsia="Arial" w:hAnsi="Arial" w:cs="Arial"/>
          <w:sz w:val="21"/>
          <w:szCs w:val="21"/>
        </w:rPr>
      </w:pPr>
      <w:r>
        <w:rPr>
          <w:rFonts w:ascii="Arial" w:eastAsia="Arial" w:hAnsi="Arial" w:cs="Arial"/>
          <w:sz w:val="21"/>
          <w:szCs w:val="21"/>
        </w:rPr>
        <w:t>Na podlagi prvega odstavka 73. člena in prvega odstavka 98. člena Zakona o skupnih temeljih sistema plač v javnem sektorju (Uradni list RS, št. 95/24) in 3. točke II. poglavja Kolektivne pogodbe za zdravnike in zobozdravnike v Republiki Sloveniji (Uradni list RS, št. 14/94, 15/94, 18/94 – ZRPJZ, 23/96 – popr., 22/96, 46/98 – popr., 39/98, 39/99 – ZMPUPR, 97/00, 43/06 – ZKolP, 60/08, 5/12, 40/12, 46/13, 16/17, 80/18, 160/20, 88/21 in 136/22)</w:t>
      </w:r>
    </w:p>
    <w:p>
      <w:pPr>
        <w:pStyle w:val="rocnivnos"/>
        <w:spacing w:before="210" w:after="210"/>
        <w:ind w:left="0" w:right="0"/>
        <w:rPr>
          <w:rFonts w:ascii="Arial" w:eastAsia="Arial" w:hAnsi="Arial" w:cs="Arial"/>
          <w:sz w:val="21"/>
          <w:szCs w:val="21"/>
        </w:rPr>
      </w:pPr>
      <w:r>
        <w:rPr>
          <w:rFonts w:ascii="Arial" w:eastAsia="Arial" w:hAnsi="Arial" w:cs="Arial"/>
          <w:sz w:val="21"/>
          <w:szCs w:val="21"/>
        </w:rPr>
        <w:t>Vlada Republike Slovenije kot stranka na strani delodajalca, ki jo zastopajo mag. Franc Props, minister za javno upravo, Klemen Boštjančič, minister za finance, dr. Valentina Prevolnik Rupel, ministrica za zdravje, in Zdravniška zbornica Slovenije, ki jo zastopa prof. dr. Bojana Beović</w:t>
      </w:r>
    </w:p>
    <w:p>
      <w:pPr>
        <w:pStyle w:val="rocnivnos"/>
        <w:spacing w:before="210" w:after="210"/>
        <w:ind w:left="0" w:right="0"/>
        <w:rPr>
          <w:rFonts w:ascii="Arial" w:eastAsia="Arial" w:hAnsi="Arial" w:cs="Arial"/>
          <w:sz w:val="21"/>
          <w:szCs w:val="21"/>
        </w:rPr>
      </w:pPr>
      <w:r>
        <w:rPr>
          <w:rFonts w:ascii="Arial" w:eastAsia="Arial" w:hAnsi="Arial" w:cs="Arial"/>
          <w:sz w:val="21"/>
          <w:szCs w:val="21"/>
        </w:rPr>
        <w:t>in</w:t>
      </w:r>
    </w:p>
    <w:p>
      <w:pPr>
        <w:pStyle w:val="rocnivnos"/>
        <w:spacing w:before="210" w:after="210"/>
        <w:ind w:left="0" w:right="0"/>
        <w:rPr>
          <w:rFonts w:ascii="Arial" w:eastAsia="Arial" w:hAnsi="Arial" w:cs="Arial"/>
          <w:sz w:val="21"/>
          <w:szCs w:val="21"/>
        </w:rPr>
      </w:pPr>
      <w:r>
        <w:rPr>
          <w:rFonts w:ascii="Arial" w:eastAsia="Arial" w:hAnsi="Arial" w:cs="Arial"/>
          <w:sz w:val="21"/>
          <w:szCs w:val="21"/>
        </w:rPr>
        <w:t>FIDES, Sindikat zdravnikov in zobozdravnikov Slovenije, ki ga zastopa Damjan Polh,</w:t>
      </w:r>
    </w:p>
    <w:p>
      <w:pPr>
        <w:pStyle w:val="rocnivnos"/>
        <w:spacing w:before="210" w:after="210"/>
        <w:ind w:left="0" w:right="0"/>
        <w:rPr>
          <w:rFonts w:ascii="Arial" w:eastAsia="Arial" w:hAnsi="Arial" w:cs="Arial"/>
          <w:sz w:val="21"/>
          <w:szCs w:val="21"/>
        </w:rPr>
      </w:pPr>
      <w:r>
        <w:rPr>
          <w:rFonts w:ascii="Arial" w:eastAsia="Arial" w:hAnsi="Arial" w:cs="Arial"/>
          <w:sz w:val="21"/>
          <w:szCs w:val="21"/>
        </w:rPr>
        <w:t>DENS – Sindikat zobozdravnikov Slovenije, ki ga zastopa Mirjana Petrovič,</w:t>
      </w:r>
    </w:p>
    <w:p>
      <w:pPr>
        <w:pStyle w:val="rocnivnos"/>
        <w:spacing w:before="210" w:after="210"/>
        <w:ind w:left="0" w:right="0"/>
        <w:rPr>
          <w:rFonts w:ascii="Arial" w:eastAsia="Arial" w:hAnsi="Arial" w:cs="Arial"/>
          <w:sz w:val="21"/>
          <w:szCs w:val="21"/>
        </w:rPr>
      </w:pPr>
      <w:r>
        <w:rPr>
          <w:rFonts w:ascii="Arial" w:eastAsia="Arial" w:hAnsi="Arial" w:cs="Arial"/>
          <w:sz w:val="21"/>
          <w:szCs w:val="21"/>
        </w:rPr>
        <w:t>Sindikat zdravnikov družinske medicine PRAKTIK.UM, ki ga zastopa mag. Igor Muževič,</w:t>
      </w:r>
    </w:p>
    <w:p>
      <w:pPr>
        <w:pStyle w:val="rocnivnos"/>
        <w:spacing w:before="210" w:after="210"/>
        <w:ind w:left="0" w:right="0"/>
        <w:rPr>
          <w:rFonts w:ascii="Arial" w:eastAsia="Arial" w:hAnsi="Arial" w:cs="Arial"/>
          <w:sz w:val="21"/>
          <w:szCs w:val="21"/>
        </w:rPr>
      </w:pPr>
      <w:r>
        <w:rPr>
          <w:rFonts w:ascii="Arial" w:eastAsia="Arial" w:hAnsi="Arial" w:cs="Arial"/>
          <w:sz w:val="21"/>
          <w:szCs w:val="21"/>
        </w:rPr>
        <w:t>Sindikat zdravstva in socialnega varstva Slovenije, ki ga zastopa Irena Ilešič Čujovič,</w:t>
      </w:r>
    </w:p>
    <w:p>
      <w:pPr>
        <w:pStyle w:val="rocnivnos"/>
        <w:spacing w:before="210" w:after="210"/>
        <w:ind w:left="0" w:right="0"/>
        <w:rPr>
          <w:rFonts w:ascii="Arial" w:eastAsia="Arial" w:hAnsi="Arial" w:cs="Arial"/>
          <w:sz w:val="21"/>
          <w:szCs w:val="21"/>
        </w:rPr>
      </w:pPr>
      <w:r>
        <w:rPr>
          <w:rFonts w:ascii="Arial" w:eastAsia="Arial" w:hAnsi="Arial" w:cs="Arial"/>
          <w:sz w:val="21"/>
          <w:szCs w:val="21"/>
        </w:rPr>
        <w:t>Sindikat zdravstva in socialnega skrbstva Slovenije, ki ga zastopa Aleksander Jus, in</w:t>
      </w:r>
    </w:p>
    <w:p>
      <w:pPr>
        <w:pStyle w:val="rocnivnos"/>
        <w:spacing w:before="210" w:after="210"/>
        <w:ind w:left="0" w:right="0"/>
        <w:rPr>
          <w:rFonts w:ascii="Arial" w:eastAsia="Arial" w:hAnsi="Arial" w:cs="Arial"/>
          <w:sz w:val="21"/>
          <w:szCs w:val="21"/>
        </w:rPr>
      </w:pPr>
      <w:r>
        <w:rPr>
          <w:rFonts w:ascii="Arial" w:eastAsia="Arial" w:hAnsi="Arial" w:cs="Arial"/>
          <w:sz w:val="21"/>
          <w:szCs w:val="21"/>
        </w:rPr>
        <w:t>Sindikati v zdravstvu Slovenije – PERGAM, ki ga zastopa Vladimir Lazić</w:t>
      </w:r>
    </w:p>
    <w:p>
      <w:pPr>
        <w:pStyle w:val="rocnivnos"/>
        <w:spacing w:before="210" w:after="210"/>
        <w:ind w:left="0" w:right="0"/>
        <w:rPr>
          <w:rFonts w:ascii="Arial" w:eastAsia="Arial" w:hAnsi="Arial" w:cs="Arial"/>
          <w:sz w:val="21"/>
          <w:szCs w:val="21"/>
        </w:rPr>
      </w:pPr>
      <w:r>
        <w:rPr>
          <w:rFonts w:ascii="Arial" w:eastAsia="Arial" w:hAnsi="Arial" w:cs="Arial"/>
          <w:sz w:val="21"/>
          <w:szCs w:val="21"/>
        </w:rPr>
        <w:t>kot stranka na strani delojemalcev</w:t>
      </w:r>
    </w:p>
    <w:p>
      <w:pPr>
        <w:pStyle w:val="rocnivnos"/>
        <w:spacing w:before="210" w:after="210"/>
        <w:ind w:left="0" w:right="0"/>
        <w:rPr>
          <w:rFonts w:ascii="Arial" w:eastAsia="Arial" w:hAnsi="Arial" w:cs="Arial"/>
          <w:sz w:val="21"/>
          <w:szCs w:val="21"/>
        </w:rPr>
      </w:pPr>
      <w:r>
        <w:rPr>
          <w:rFonts w:ascii="Arial" w:eastAsia="Arial" w:hAnsi="Arial" w:cs="Arial"/>
          <w:sz w:val="21"/>
          <w:szCs w:val="21"/>
        </w:rPr>
        <w:t>skleneta</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ANEKS</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k Posebnemu tarifnemu delu Kolektivne pogodbe za zdravnike in zobozdravnike v Republiki Sloveniji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(namen sklepanja)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S tem aneksom se določajo:</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delovna mesta in nazivi plačne podskupine E1,</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merila in kriteriji za zasedbo delovnih mest.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(določitev plačnih razredov)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 tem aneksom se določijo in uvrščajo v plačne razrede delovna mesta in nazivi plačne podskupine E1 – Zdravniki in zobozdravniki.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Delovna mesta in nazivi plačne podskupine E1 se uvrstijo v naslednje plačne razrede:</w:t>
      </w:r>
    </w:p>
    <w:tbl>
      <w:tblPr>
        <w:tblW w:w="5000" w:type="pct"/>
        <w:tblCellSpacing w:w="15" w:type="dxa"/>
        <w:tblInd w:w="25" w:type="dxa"/>
        <w:tblCellMar>
          <w:top w:w="15" w:type="dxa"/>
          <w:left w:w="15" w:type="dxa"/>
          <w:bottom w:w="15" w:type="dxa"/>
          <w:right w:w="15" w:type="dxa"/>
        </w:tblCellMar>
      </w:tblPr>
      <w:tblGrid>
        <w:gridCol w:w="750"/>
        <w:gridCol w:w="925"/>
        <w:gridCol w:w="3291"/>
        <w:gridCol w:w="602"/>
        <w:gridCol w:w="499"/>
        <w:gridCol w:w="1637"/>
        <w:gridCol w:w="1009"/>
        <w:gridCol w:w="728"/>
      </w:tblGrid>
      <w:tr>
        <w:tblPrEx>
          <w:tblW w:w="5000" w:type="pct"/>
          <w:tblCellSpacing w:w="15" w:type="dxa"/>
          <w:tblInd w:w="25" w:type="dxa"/>
          <w:tblCellMar>
            <w:top w:w="15" w:type="dxa"/>
            <w:left w:w="15" w:type="dxa"/>
            <w:bottom w:w="15" w:type="dxa"/>
            <w:right w:w="15" w:type="dxa"/>
          </w:tblCellMar>
        </w:tblPrEx>
        <w:trPr>
          <w:tblCellSpacing w:w="15" w:type="dxa"/>
        </w:trPr>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bCs/>
                <w:i w:val="0"/>
                <w:iCs w:val="0"/>
                <w:smallCaps w:val="0"/>
                <w:color w:val="000000"/>
              </w:rPr>
            </w:pPr>
            <w:r>
              <w:rPr>
                <w:rFonts w:ascii="Arial" w:eastAsia="Arial" w:hAnsi="Arial" w:cs="Arial"/>
                <w:b/>
                <w:bCs/>
                <w:i w:val="0"/>
                <w:iCs w:val="0"/>
                <w:smallCaps w:val="0"/>
                <w:color w:val="000000"/>
              </w:rPr>
              <w:t xml:space="preserve">Zap.  </w:t>
            </w:r>
          </w:p>
          <w:p>
            <w:pPr>
              <w:rPr>
                <w:rFonts w:ascii="Arial" w:eastAsia="Arial" w:hAnsi="Arial" w:cs="Arial"/>
                <w:b/>
                <w:bCs/>
                <w:i w:val="0"/>
                <w:iCs w:val="0"/>
                <w:smallCaps w:val="0"/>
                <w:color w:val="000000"/>
              </w:rPr>
            </w:pPr>
            <w:r>
              <w:rPr>
                <w:rFonts w:ascii="Arial" w:eastAsia="Arial" w:hAnsi="Arial" w:cs="Arial"/>
                <w:b/>
                <w:bCs/>
                <w:i w:val="0"/>
                <w:iCs w:val="0"/>
                <w:smallCaps w:val="0"/>
                <w:color w:val="000000"/>
              </w:rPr>
              <w:t xml:space="preserve">št.  </w:t>
            </w:r>
          </w:p>
          <w:p>
            <w:pPr>
              <w:rPr>
                <w:rFonts w:ascii="Arial" w:eastAsia="Arial" w:hAnsi="Arial" w:cs="Arial"/>
                <w:b/>
                <w:bCs/>
                <w:i w:val="0"/>
                <w:iCs w:val="0"/>
                <w:smallCaps w:val="0"/>
                <w:color w:val="000000"/>
              </w:rPr>
            </w:pPr>
            <w:r>
              <w:rPr>
                <w:rFonts w:ascii="Arial" w:eastAsia="Arial" w:hAnsi="Arial" w:cs="Arial"/>
                <w:b/>
                <w:bCs/>
                <w:i w:val="0"/>
                <w:iCs w:val="0"/>
                <w:smallCaps w:val="0"/>
                <w:color w:val="000000"/>
              </w:rPr>
              <w:t xml:space="preserve">DM/N </w:t>
            </w:r>
          </w:p>
        </w:tc>
        <w:tc>
          <w:tcPr>
            <w:tcW w:w="44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bCs/>
                <w:i w:val="0"/>
                <w:iCs w:val="0"/>
                <w:smallCaps w:val="0"/>
                <w:color w:val="000000"/>
              </w:rPr>
            </w:pPr>
            <w:r>
              <w:rPr>
                <w:rFonts w:ascii="Arial" w:eastAsia="Arial" w:hAnsi="Arial" w:cs="Arial"/>
                <w:b/>
                <w:bCs/>
                <w:i w:val="0"/>
                <w:iCs w:val="0"/>
                <w:smallCaps w:val="0"/>
                <w:color w:val="000000"/>
              </w:rPr>
              <w:t xml:space="preserve">Šifra DM </w:t>
            </w:r>
          </w:p>
        </w:tc>
        <w:tc>
          <w:tcPr>
            <w:tcW w:w="17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bCs/>
                <w:i w:val="0"/>
                <w:iCs w:val="0"/>
                <w:smallCaps w:val="0"/>
                <w:color w:val="000000"/>
              </w:rPr>
            </w:pPr>
            <w:r>
              <w:rPr>
                <w:rFonts w:ascii="Arial" w:eastAsia="Arial" w:hAnsi="Arial" w:cs="Arial"/>
                <w:b/>
                <w:bCs/>
                <w:i w:val="0"/>
                <w:iCs w:val="0"/>
                <w:smallCaps w:val="0"/>
                <w:color w:val="000000"/>
              </w:rPr>
              <w:t xml:space="preserve">Delovno mesto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bCs/>
                <w:i w:val="0"/>
                <w:iCs w:val="0"/>
                <w:smallCaps w:val="0"/>
                <w:color w:val="000000"/>
              </w:rPr>
            </w:pPr>
            <w:r>
              <w:rPr>
                <w:rFonts w:ascii="Arial" w:eastAsia="Arial" w:hAnsi="Arial" w:cs="Arial"/>
                <w:b/>
                <w:bCs/>
                <w:i w:val="0"/>
                <w:iCs w:val="0"/>
                <w:smallCaps w:val="0"/>
                <w:color w:val="000000"/>
              </w:rPr>
              <w:t xml:space="preserve">TR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bCs/>
                <w:i w:val="0"/>
                <w:iCs w:val="0"/>
                <w:smallCaps w:val="0"/>
                <w:color w:val="000000"/>
              </w:rPr>
            </w:pPr>
            <w:r>
              <w:rPr>
                <w:rFonts w:ascii="Arial" w:eastAsia="Arial" w:hAnsi="Arial" w:cs="Arial"/>
                <w:b/>
                <w:bCs/>
                <w:i w:val="0"/>
                <w:iCs w:val="0"/>
                <w:smallCaps w:val="0"/>
                <w:color w:val="000000"/>
              </w:rPr>
              <w:t xml:space="preserve">Šifra N </w:t>
            </w:r>
          </w:p>
        </w:tc>
        <w:tc>
          <w:tcPr>
            <w:tcW w:w="12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bCs/>
                <w:i w:val="0"/>
                <w:iCs w:val="0"/>
                <w:smallCaps w:val="0"/>
                <w:color w:val="000000"/>
              </w:rPr>
            </w:pPr>
            <w:r>
              <w:rPr>
                <w:rFonts w:ascii="Arial" w:eastAsia="Arial" w:hAnsi="Arial" w:cs="Arial"/>
                <w:b/>
                <w:bCs/>
                <w:i w:val="0"/>
                <w:iCs w:val="0"/>
                <w:smallCaps w:val="0"/>
                <w:color w:val="000000"/>
              </w:rPr>
              <w:t xml:space="preserve">Naziv </w:t>
            </w:r>
          </w:p>
        </w:tc>
        <w:tc>
          <w:tcPr>
            <w:tcW w:w="50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bCs/>
                <w:i w:val="0"/>
                <w:iCs w:val="0"/>
                <w:smallCaps w:val="0"/>
                <w:color w:val="000000"/>
              </w:rPr>
            </w:pPr>
            <w:r>
              <w:rPr>
                <w:rFonts w:ascii="Arial" w:eastAsia="Arial" w:hAnsi="Arial" w:cs="Arial"/>
                <w:b/>
                <w:bCs/>
                <w:i w:val="0"/>
                <w:iCs w:val="0"/>
                <w:smallCaps w:val="0"/>
                <w:color w:val="000000"/>
              </w:rPr>
              <w:t xml:space="preserve">Izhodiščni plačni razred </w:t>
            </w:r>
          </w:p>
        </w:tc>
        <w:tc>
          <w:tcPr>
            <w:tcW w:w="35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bCs/>
                <w:i w:val="0"/>
                <w:iCs w:val="0"/>
                <w:smallCaps w:val="0"/>
                <w:color w:val="000000"/>
              </w:rPr>
            </w:pPr>
            <w:r>
              <w:rPr>
                <w:rFonts w:ascii="Arial" w:eastAsia="Arial" w:hAnsi="Arial" w:cs="Arial"/>
                <w:b/>
                <w:bCs/>
                <w:i w:val="0"/>
                <w:iCs w:val="0"/>
                <w:smallCaps w:val="0"/>
                <w:color w:val="000000"/>
              </w:rPr>
              <w:t xml:space="preserve">Končni plačni razred </w:t>
            </w:r>
          </w:p>
        </w:tc>
      </w:tr>
      <w:tr>
        <w:tblPrEx>
          <w:tblW w:w="5000" w:type="pct"/>
          <w:tblCellSpacing w:w="15" w:type="dxa"/>
          <w:tblInd w:w="25" w:type="dxa"/>
          <w:tblCellMar>
            <w:top w:w="15" w:type="dxa"/>
            <w:left w:w="15" w:type="dxa"/>
            <w:bottom w:w="15" w:type="dxa"/>
            <w:right w:w="15" w:type="dxa"/>
          </w:tblCellMar>
        </w:tblPrEx>
        <w:trPr>
          <w:tblCellSpacing w:w="15" w:type="dxa"/>
        </w:trPr>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1 </w:t>
            </w:r>
          </w:p>
        </w:tc>
        <w:tc>
          <w:tcPr>
            <w:tcW w:w="44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E017018 </w:t>
            </w:r>
          </w:p>
        </w:tc>
        <w:tc>
          <w:tcPr>
            <w:tcW w:w="17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ZDRAVNIK/ZOBOZDRAVNIK BREZ SPECIALIZACIJE Z LICENCO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VII/2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0 </w:t>
            </w:r>
          </w:p>
        </w:tc>
        <w:tc>
          <w:tcPr>
            <w:tcW w:w="12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  </w:t>
            </w:r>
          </w:p>
        </w:tc>
        <w:tc>
          <w:tcPr>
            <w:tcW w:w="50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28 </w:t>
            </w:r>
          </w:p>
        </w:tc>
        <w:tc>
          <w:tcPr>
            <w:tcW w:w="35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38 </w:t>
            </w:r>
          </w:p>
        </w:tc>
      </w:tr>
      <w:tr>
        <w:tblPrEx>
          <w:tblW w:w="5000" w:type="pct"/>
          <w:tblCellSpacing w:w="15" w:type="dxa"/>
          <w:tblInd w:w="25" w:type="dxa"/>
          <w:tblCellMar>
            <w:top w:w="15" w:type="dxa"/>
            <w:left w:w="15" w:type="dxa"/>
            <w:bottom w:w="15" w:type="dxa"/>
            <w:right w:w="15" w:type="dxa"/>
          </w:tblCellMar>
        </w:tblPrEx>
        <w:trPr>
          <w:tblCellSpacing w:w="15" w:type="dxa"/>
        </w:trPr>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2 </w:t>
            </w:r>
          </w:p>
        </w:tc>
        <w:tc>
          <w:tcPr>
            <w:tcW w:w="44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E017019 </w:t>
            </w:r>
          </w:p>
        </w:tc>
        <w:tc>
          <w:tcPr>
            <w:tcW w:w="17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ZDRAVNIK/ZOBOZDRAVNIK BREZ SPECIALIZACIJE Z LICENCO PPD1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VII/2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0 </w:t>
            </w:r>
          </w:p>
        </w:tc>
        <w:tc>
          <w:tcPr>
            <w:tcW w:w="12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  </w:t>
            </w:r>
          </w:p>
        </w:tc>
        <w:tc>
          <w:tcPr>
            <w:tcW w:w="50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35 </w:t>
            </w:r>
          </w:p>
        </w:tc>
        <w:tc>
          <w:tcPr>
            <w:tcW w:w="35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45 </w:t>
            </w:r>
          </w:p>
        </w:tc>
      </w:tr>
      <w:tr>
        <w:tblPrEx>
          <w:tblW w:w="5000" w:type="pct"/>
          <w:tblCellSpacing w:w="15" w:type="dxa"/>
          <w:tblInd w:w="25" w:type="dxa"/>
          <w:tblCellMar>
            <w:top w:w="15" w:type="dxa"/>
            <w:left w:w="15" w:type="dxa"/>
            <w:bottom w:w="15" w:type="dxa"/>
            <w:right w:w="15" w:type="dxa"/>
          </w:tblCellMar>
        </w:tblPrEx>
        <w:trPr>
          <w:tblCellSpacing w:w="15" w:type="dxa"/>
        </w:trPr>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3 </w:t>
            </w:r>
          </w:p>
        </w:tc>
        <w:tc>
          <w:tcPr>
            <w:tcW w:w="44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E017020 </w:t>
            </w:r>
          </w:p>
        </w:tc>
        <w:tc>
          <w:tcPr>
            <w:tcW w:w="17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ZDRAVNIK/ZOBOZDRAVNIK BREZ SPECIALIZACIJE Z LICENCO PPD2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VII/2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0 </w:t>
            </w:r>
          </w:p>
        </w:tc>
        <w:tc>
          <w:tcPr>
            <w:tcW w:w="12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  </w:t>
            </w:r>
          </w:p>
        </w:tc>
        <w:tc>
          <w:tcPr>
            <w:tcW w:w="50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32 </w:t>
            </w:r>
          </w:p>
        </w:tc>
        <w:tc>
          <w:tcPr>
            <w:tcW w:w="35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42 </w:t>
            </w:r>
          </w:p>
        </w:tc>
      </w:tr>
      <w:tr>
        <w:tblPrEx>
          <w:tblW w:w="5000" w:type="pct"/>
          <w:tblCellSpacing w:w="15" w:type="dxa"/>
          <w:tblInd w:w="25" w:type="dxa"/>
          <w:tblCellMar>
            <w:top w:w="15" w:type="dxa"/>
            <w:left w:w="15" w:type="dxa"/>
            <w:bottom w:w="15" w:type="dxa"/>
            <w:right w:w="15" w:type="dxa"/>
          </w:tblCellMar>
        </w:tblPrEx>
        <w:trPr>
          <w:tblCellSpacing w:w="15" w:type="dxa"/>
        </w:trPr>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4 </w:t>
            </w:r>
          </w:p>
        </w:tc>
        <w:tc>
          <w:tcPr>
            <w:tcW w:w="44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E017021 </w:t>
            </w:r>
          </w:p>
        </w:tc>
        <w:tc>
          <w:tcPr>
            <w:tcW w:w="17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ZDRAVNIK/ZOBOZDRAVNIK BREZ SPECIALIZACIJE Z LICENCO PPD3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VII/2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0 </w:t>
            </w:r>
          </w:p>
        </w:tc>
        <w:tc>
          <w:tcPr>
            <w:tcW w:w="12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  </w:t>
            </w:r>
          </w:p>
        </w:tc>
        <w:tc>
          <w:tcPr>
            <w:tcW w:w="50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31 </w:t>
            </w:r>
          </w:p>
        </w:tc>
        <w:tc>
          <w:tcPr>
            <w:tcW w:w="35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41 </w:t>
            </w:r>
          </w:p>
        </w:tc>
      </w:tr>
      <w:tr>
        <w:tblPrEx>
          <w:tblW w:w="5000" w:type="pct"/>
          <w:tblCellSpacing w:w="15" w:type="dxa"/>
          <w:tblInd w:w="25" w:type="dxa"/>
          <w:tblCellMar>
            <w:top w:w="15" w:type="dxa"/>
            <w:left w:w="15" w:type="dxa"/>
            <w:bottom w:w="15" w:type="dxa"/>
            <w:right w:w="15" w:type="dxa"/>
          </w:tblCellMar>
        </w:tblPrEx>
        <w:trPr>
          <w:tblCellSpacing w:w="15" w:type="dxa"/>
        </w:trPr>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5 </w:t>
            </w:r>
          </w:p>
        </w:tc>
        <w:tc>
          <w:tcPr>
            <w:tcW w:w="44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E017023 </w:t>
            </w:r>
          </w:p>
        </w:tc>
        <w:tc>
          <w:tcPr>
            <w:tcW w:w="17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ZOBOZDRAVNIK PPD 1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VII/2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0 </w:t>
            </w:r>
          </w:p>
        </w:tc>
        <w:tc>
          <w:tcPr>
            <w:tcW w:w="12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  </w:t>
            </w:r>
          </w:p>
        </w:tc>
        <w:tc>
          <w:tcPr>
            <w:tcW w:w="50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27 </w:t>
            </w:r>
          </w:p>
        </w:tc>
        <w:tc>
          <w:tcPr>
            <w:tcW w:w="35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37 </w:t>
            </w:r>
          </w:p>
        </w:tc>
      </w:tr>
      <w:tr>
        <w:tblPrEx>
          <w:tblW w:w="5000" w:type="pct"/>
          <w:tblCellSpacing w:w="15" w:type="dxa"/>
          <w:tblInd w:w="25" w:type="dxa"/>
          <w:tblCellMar>
            <w:top w:w="15" w:type="dxa"/>
            <w:left w:w="15" w:type="dxa"/>
            <w:bottom w:w="15" w:type="dxa"/>
            <w:right w:w="15" w:type="dxa"/>
          </w:tblCellMar>
        </w:tblPrEx>
        <w:trPr>
          <w:tblCellSpacing w:w="15" w:type="dxa"/>
        </w:trPr>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6 </w:t>
            </w:r>
          </w:p>
        </w:tc>
        <w:tc>
          <w:tcPr>
            <w:tcW w:w="44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E017024 </w:t>
            </w:r>
          </w:p>
        </w:tc>
        <w:tc>
          <w:tcPr>
            <w:tcW w:w="17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ZOBOZDRAVNIK PPD 2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VII/2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0 </w:t>
            </w:r>
          </w:p>
        </w:tc>
        <w:tc>
          <w:tcPr>
            <w:tcW w:w="12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  </w:t>
            </w:r>
          </w:p>
        </w:tc>
        <w:tc>
          <w:tcPr>
            <w:tcW w:w="50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25 </w:t>
            </w:r>
          </w:p>
        </w:tc>
        <w:tc>
          <w:tcPr>
            <w:tcW w:w="35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35 </w:t>
            </w:r>
          </w:p>
        </w:tc>
      </w:tr>
      <w:tr>
        <w:tblPrEx>
          <w:tblW w:w="5000" w:type="pct"/>
          <w:tblCellSpacing w:w="15" w:type="dxa"/>
          <w:tblInd w:w="25" w:type="dxa"/>
          <w:tblCellMar>
            <w:top w:w="15" w:type="dxa"/>
            <w:left w:w="15" w:type="dxa"/>
            <w:bottom w:w="15" w:type="dxa"/>
            <w:right w:w="15" w:type="dxa"/>
          </w:tblCellMar>
        </w:tblPrEx>
        <w:trPr>
          <w:tblCellSpacing w:w="15" w:type="dxa"/>
        </w:trPr>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7 </w:t>
            </w:r>
          </w:p>
        </w:tc>
        <w:tc>
          <w:tcPr>
            <w:tcW w:w="44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E017025 </w:t>
            </w:r>
          </w:p>
        </w:tc>
        <w:tc>
          <w:tcPr>
            <w:tcW w:w="17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ZOBOZDRAVNIK PPD 3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VII/2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0 </w:t>
            </w:r>
          </w:p>
        </w:tc>
        <w:tc>
          <w:tcPr>
            <w:tcW w:w="12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  </w:t>
            </w:r>
          </w:p>
        </w:tc>
        <w:tc>
          <w:tcPr>
            <w:tcW w:w="50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24 </w:t>
            </w:r>
          </w:p>
        </w:tc>
        <w:tc>
          <w:tcPr>
            <w:tcW w:w="35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34 </w:t>
            </w:r>
          </w:p>
        </w:tc>
      </w:tr>
      <w:tr>
        <w:tblPrEx>
          <w:tblW w:w="5000" w:type="pct"/>
          <w:tblCellSpacing w:w="15" w:type="dxa"/>
          <w:tblInd w:w="25" w:type="dxa"/>
          <w:tblCellMar>
            <w:top w:w="15" w:type="dxa"/>
            <w:left w:w="15" w:type="dxa"/>
            <w:bottom w:w="15" w:type="dxa"/>
            <w:right w:w="15" w:type="dxa"/>
          </w:tblCellMar>
        </w:tblPrEx>
        <w:trPr>
          <w:tblCellSpacing w:w="15" w:type="dxa"/>
        </w:trPr>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8 </w:t>
            </w:r>
          </w:p>
        </w:tc>
        <w:tc>
          <w:tcPr>
            <w:tcW w:w="44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E017026 </w:t>
            </w:r>
          </w:p>
        </w:tc>
        <w:tc>
          <w:tcPr>
            <w:tcW w:w="17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ZDRAVNIK SPECIALIZANT III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VII/2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0 </w:t>
            </w:r>
          </w:p>
        </w:tc>
        <w:tc>
          <w:tcPr>
            <w:tcW w:w="12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  </w:t>
            </w:r>
          </w:p>
        </w:tc>
        <w:tc>
          <w:tcPr>
            <w:tcW w:w="50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25 </w:t>
            </w:r>
          </w:p>
        </w:tc>
        <w:tc>
          <w:tcPr>
            <w:tcW w:w="35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35 </w:t>
            </w:r>
          </w:p>
        </w:tc>
      </w:tr>
      <w:tr>
        <w:tblPrEx>
          <w:tblW w:w="5000" w:type="pct"/>
          <w:tblCellSpacing w:w="15" w:type="dxa"/>
          <w:tblInd w:w="25" w:type="dxa"/>
          <w:tblCellMar>
            <w:top w:w="15" w:type="dxa"/>
            <w:left w:w="15" w:type="dxa"/>
            <w:bottom w:w="15" w:type="dxa"/>
            <w:right w:w="15" w:type="dxa"/>
          </w:tblCellMar>
        </w:tblPrEx>
        <w:trPr>
          <w:tblCellSpacing w:w="15" w:type="dxa"/>
        </w:trPr>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9 </w:t>
            </w:r>
          </w:p>
        </w:tc>
        <w:tc>
          <w:tcPr>
            <w:tcW w:w="44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E017027 </w:t>
            </w:r>
          </w:p>
        </w:tc>
        <w:tc>
          <w:tcPr>
            <w:tcW w:w="17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ZDRAVNIK SPECIALIZANT III PPD1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VII/2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0 </w:t>
            </w:r>
          </w:p>
        </w:tc>
        <w:tc>
          <w:tcPr>
            <w:tcW w:w="12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  </w:t>
            </w:r>
          </w:p>
        </w:tc>
        <w:tc>
          <w:tcPr>
            <w:tcW w:w="50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31 </w:t>
            </w:r>
          </w:p>
        </w:tc>
        <w:tc>
          <w:tcPr>
            <w:tcW w:w="35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41 </w:t>
            </w:r>
          </w:p>
        </w:tc>
      </w:tr>
      <w:tr>
        <w:tblPrEx>
          <w:tblW w:w="5000" w:type="pct"/>
          <w:tblCellSpacing w:w="15" w:type="dxa"/>
          <w:tblInd w:w="25" w:type="dxa"/>
          <w:tblCellMar>
            <w:top w:w="15" w:type="dxa"/>
            <w:left w:w="15" w:type="dxa"/>
            <w:bottom w:w="15" w:type="dxa"/>
            <w:right w:w="15" w:type="dxa"/>
          </w:tblCellMar>
        </w:tblPrEx>
        <w:trPr>
          <w:tblCellSpacing w:w="15" w:type="dxa"/>
        </w:trPr>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10 </w:t>
            </w:r>
          </w:p>
        </w:tc>
        <w:tc>
          <w:tcPr>
            <w:tcW w:w="44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E017028 </w:t>
            </w:r>
          </w:p>
        </w:tc>
        <w:tc>
          <w:tcPr>
            <w:tcW w:w="17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ZDRAVNIK SPECIALIZANT III PPD2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VII/2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0 </w:t>
            </w:r>
          </w:p>
        </w:tc>
        <w:tc>
          <w:tcPr>
            <w:tcW w:w="12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  </w:t>
            </w:r>
          </w:p>
        </w:tc>
        <w:tc>
          <w:tcPr>
            <w:tcW w:w="50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28 </w:t>
            </w:r>
          </w:p>
        </w:tc>
        <w:tc>
          <w:tcPr>
            <w:tcW w:w="35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38 </w:t>
            </w:r>
          </w:p>
        </w:tc>
      </w:tr>
      <w:tr>
        <w:tblPrEx>
          <w:tblW w:w="5000" w:type="pct"/>
          <w:tblCellSpacing w:w="15" w:type="dxa"/>
          <w:tblInd w:w="25" w:type="dxa"/>
          <w:tblCellMar>
            <w:top w:w="15" w:type="dxa"/>
            <w:left w:w="15" w:type="dxa"/>
            <w:bottom w:w="15" w:type="dxa"/>
            <w:right w:w="15" w:type="dxa"/>
          </w:tblCellMar>
        </w:tblPrEx>
        <w:trPr>
          <w:tblCellSpacing w:w="15" w:type="dxa"/>
        </w:trPr>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11 </w:t>
            </w:r>
          </w:p>
        </w:tc>
        <w:tc>
          <w:tcPr>
            <w:tcW w:w="44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E017029 </w:t>
            </w:r>
          </w:p>
        </w:tc>
        <w:tc>
          <w:tcPr>
            <w:tcW w:w="17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ZDRAVNIK SPECIALIZANT III PPD3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VII/2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0 </w:t>
            </w:r>
          </w:p>
        </w:tc>
        <w:tc>
          <w:tcPr>
            <w:tcW w:w="12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  </w:t>
            </w:r>
          </w:p>
        </w:tc>
        <w:tc>
          <w:tcPr>
            <w:tcW w:w="50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27 </w:t>
            </w:r>
          </w:p>
        </w:tc>
        <w:tc>
          <w:tcPr>
            <w:tcW w:w="35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37 </w:t>
            </w:r>
          </w:p>
        </w:tc>
      </w:tr>
      <w:tr>
        <w:tblPrEx>
          <w:tblW w:w="5000" w:type="pct"/>
          <w:tblCellSpacing w:w="15" w:type="dxa"/>
          <w:tblInd w:w="25" w:type="dxa"/>
          <w:tblCellMar>
            <w:top w:w="15" w:type="dxa"/>
            <w:left w:w="15" w:type="dxa"/>
            <w:bottom w:w="15" w:type="dxa"/>
            <w:right w:w="15" w:type="dxa"/>
          </w:tblCellMar>
        </w:tblPrEx>
        <w:trPr>
          <w:tblCellSpacing w:w="15" w:type="dxa"/>
        </w:trPr>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12 </w:t>
            </w:r>
          </w:p>
        </w:tc>
        <w:tc>
          <w:tcPr>
            <w:tcW w:w="44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E017030 </w:t>
            </w:r>
          </w:p>
        </w:tc>
        <w:tc>
          <w:tcPr>
            <w:tcW w:w="17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ZDRAVNIK SPECIALIZANT II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VII/2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0 </w:t>
            </w:r>
          </w:p>
        </w:tc>
        <w:tc>
          <w:tcPr>
            <w:tcW w:w="12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  </w:t>
            </w:r>
          </w:p>
        </w:tc>
        <w:tc>
          <w:tcPr>
            <w:tcW w:w="50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27 </w:t>
            </w:r>
          </w:p>
        </w:tc>
        <w:tc>
          <w:tcPr>
            <w:tcW w:w="35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37 </w:t>
            </w:r>
          </w:p>
        </w:tc>
      </w:tr>
      <w:tr>
        <w:tblPrEx>
          <w:tblW w:w="5000" w:type="pct"/>
          <w:tblCellSpacing w:w="15" w:type="dxa"/>
          <w:tblInd w:w="25" w:type="dxa"/>
          <w:tblCellMar>
            <w:top w:w="15" w:type="dxa"/>
            <w:left w:w="15" w:type="dxa"/>
            <w:bottom w:w="15" w:type="dxa"/>
            <w:right w:w="15" w:type="dxa"/>
          </w:tblCellMar>
        </w:tblPrEx>
        <w:trPr>
          <w:tblCellSpacing w:w="15" w:type="dxa"/>
        </w:trPr>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13 </w:t>
            </w:r>
          </w:p>
        </w:tc>
        <w:tc>
          <w:tcPr>
            <w:tcW w:w="44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E017031 </w:t>
            </w:r>
          </w:p>
        </w:tc>
        <w:tc>
          <w:tcPr>
            <w:tcW w:w="17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ZDRAVNIK SPECIALIZANT II PPD1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VII/2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0 </w:t>
            </w:r>
          </w:p>
        </w:tc>
        <w:tc>
          <w:tcPr>
            <w:tcW w:w="12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  </w:t>
            </w:r>
          </w:p>
        </w:tc>
        <w:tc>
          <w:tcPr>
            <w:tcW w:w="50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34 </w:t>
            </w:r>
          </w:p>
        </w:tc>
        <w:tc>
          <w:tcPr>
            <w:tcW w:w="35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44 </w:t>
            </w:r>
          </w:p>
        </w:tc>
      </w:tr>
      <w:tr>
        <w:tblPrEx>
          <w:tblW w:w="5000" w:type="pct"/>
          <w:tblCellSpacing w:w="15" w:type="dxa"/>
          <w:tblInd w:w="25" w:type="dxa"/>
          <w:tblCellMar>
            <w:top w:w="15" w:type="dxa"/>
            <w:left w:w="15" w:type="dxa"/>
            <w:bottom w:w="15" w:type="dxa"/>
            <w:right w:w="15" w:type="dxa"/>
          </w:tblCellMar>
        </w:tblPrEx>
        <w:trPr>
          <w:tblCellSpacing w:w="15" w:type="dxa"/>
        </w:trPr>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14 </w:t>
            </w:r>
          </w:p>
        </w:tc>
        <w:tc>
          <w:tcPr>
            <w:tcW w:w="44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E017032 </w:t>
            </w:r>
          </w:p>
        </w:tc>
        <w:tc>
          <w:tcPr>
            <w:tcW w:w="17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ZDRAVNIK SPECIALIZANT II PPD2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VII/2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0 </w:t>
            </w:r>
          </w:p>
        </w:tc>
        <w:tc>
          <w:tcPr>
            <w:tcW w:w="12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  </w:t>
            </w:r>
          </w:p>
        </w:tc>
        <w:tc>
          <w:tcPr>
            <w:tcW w:w="50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31 </w:t>
            </w:r>
          </w:p>
        </w:tc>
        <w:tc>
          <w:tcPr>
            <w:tcW w:w="35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41 </w:t>
            </w:r>
          </w:p>
        </w:tc>
      </w:tr>
      <w:tr>
        <w:tblPrEx>
          <w:tblW w:w="5000" w:type="pct"/>
          <w:tblCellSpacing w:w="15" w:type="dxa"/>
          <w:tblInd w:w="25" w:type="dxa"/>
          <w:tblCellMar>
            <w:top w:w="15" w:type="dxa"/>
            <w:left w:w="15" w:type="dxa"/>
            <w:bottom w:w="15" w:type="dxa"/>
            <w:right w:w="15" w:type="dxa"/>
          </w:tblCellMar>
        </w:tblPrEx>
        <w:trPr>
          <w:tblCellSpacing w:w="15" w:type="dxa"/>
        </w:trPr>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15 </w:t>
            </w:r>
          </w:p>
        </w:tc>
        <w:tc>
          <w:tcPr>
            <w:tcW w:w="44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E017033 </w:t>
            </w:r>
          </w:p>
        </w:tc>
        <w:tc>
          <w:tcPr>
            <w:tcW w:w="17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ZDRAVNIK SPECIALIZANT II PPD3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VII/2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0 </w:t>
            </w:r>
          </w:p>
        </w:tc>
        <w:tc>
          <w:tcPr>
            <w:tcW w:w="12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  </w:t>
            </w:r>
          </w:p>
        </w:tc>
        <w:tc>
          <w:tcPr>
            <w:tcW w:w="50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30 </w:t>
            </w:r>
          </w:p>
        </w:tc>
        <w:tc>
          <w:tcPr>
            <w:tcW w:w="35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40 </w:t>
            </w:r>
          </w:p>
        </w:tc>
      </w:tr>
      <w:tr>
        <w:tblPrEx>
          <w:tblW w:w="5000" w:type="pct"/>
          <w:tblCellSpacing w:w="15" w:type="dxa"/>
          <w:tblInd w:w="25" w:type="dxa"/>
          <w:tblCellMar>
            <w:top w:w="15" w:type="dxa"/>
            <w:left w:w="15" w:type="dxa"/>
            <w:bottom w:w="15" w:type="dxa"/>
            <w:right w:w="15" w:type="dxa"/>
          </w:tblCellMar>
        </w:tblPrEx>
        <w:trPr>
          <w:tblCellSpacing w:w="15" w:type="dxa"/>
        </w:trPr>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16 </w:t>
            </w:r>
          </w:p>
        </w:tc>
        <w:tc>
          <w:tcPr>
            <w:tcW w:w="44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E017034 </w:t>
            </w:r>
          </w:p>
        </w:tc>
        <w:tc>
          <w:tcPr>
            <w:tcW w:w="17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ZDRAVNIK SPECIALIZANT I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VII/2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0 </w:t>
            </w:r>
          </w:p>
        </w:tc>
        <w:tc>
          <w:tcPr>
            <w:tcW w:w="12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  </w:t>
            </w:r>
          </w:p>
        </w:tc>
        <w:tc>
          <w:tcPr>
            <w:tcW w:w="50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28 </w:t>
            </w:r>
          </w:p>
        </w:tc>
        <w:tc>
          <w:tcPr>
            <w:tcW w:w="35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38 </w:t>
            </w:r>
          </w:p>
        </w:tc>
      </w:tr>
      <w:tr>
        <w:tblPrEx>
          <w:tblW w:w="5000" w:type="pct"/>
          <w:tblCellSpacing w:w="15" w:type="dxa"/>
          <w:tblInd w:w="25" w:type="dxa"/>
          <w:tblCellMar>
            <w:top w:w="15" w:type="dxa"/>
            <w:left w:w="15" w:type="dxa"/>
            <w:bottom w:w="15" w:type="dxa"/>
            <w:right w:w="15" w:type="dxa"/>
          </w:tblCellMar>
        </w:tblPrEx>
        <w:trPr>
          <w:tblCellSpacing w:w="15" w:type="dxa"/>
        </w:trPr>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17 </w:t>
            </w:r>
          </w:p>
        </w:tc>
        <w:tc>
          <w:tcPr>
            <w:tcW w:w="44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E017035 </w:t>
            </w:r>
          </w:p>
        </w:tc>
        <w:tc>
          <w:tcPr>
            <w:tcW w:w="17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ZDRAVNIK SPECIALIZANT I PPD1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VII/2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0 </w:t>
            </w:r>
          </w:p>
        </w:tc>
        <w:tc>
          <w:tcPr>
            <w:tcW w:w="12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  </w:t>
            </w:r>
          </w:p>
        </w:tc>
        <w:tc>
          <w:tcPr>
            <w:tcW w:w="50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35 </w:t>
            </w:r>
          </w:p>
        </w:tc>
        <w:tc>
          <w:tcPr>
            <w:tcW w:w="35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45 </w:t>
            </w:r>
          </w:p>
        </w:tc>
      </w:tr>
      <w:tr>
        <w:tblPrEx>
          <w:tblW w:w="5000" w:type="pct"/>
          <w:tblCellSpacing w:w="15" w:type="dxa"/>
          <w:tblInd w:w="25" w:type="dxa"/>
          <w:tblCellMar>
            <w:top w:w="15" w:type="dxa"/>
            <w:left w:w="15" w:type="dxa"/>
            <w:bottom w:w="15" w:type="dxa"/>
            <w:right w:w="15" w:type="dxa"/>
          </w:tblCellMar>
        </w:tblPrEx>
        <w:trPr>
          <w:tblCellSpacing w:w="15" w:type="dxa"/>
        </w:trPr>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18 </w:t>
            </w:r>
          </w:p>
        </w:tc>
        <w:tc>
          <w:tcPr>
            <w:tcW w:w="44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E017036 </w:t>
            </w:r>
          </w:p>
        </w:tc>
        <w:tc>
          <w:tcPr>
            <w:tcW w:w="17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ZDRAVNIK SPECIALIZANT I PPD2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VII/2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0 </w:t>
            </w:r>
          </w:p>
        </w:tc>
        <w:tc>
          <w:tcPr>
            <w:tcW w:w="12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  </w:t>
            </w:r>
          </w:p>
        </w:tc>
        <w:tc>
          <w:tcPr>
            <w:tcW w:w="50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32 </w:t>
            </w:r>
          </w:p>
        </w:tc>
        <w:tc>
          <w:tcPr>
            <w:tcW w:w="35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42 </w:t>
            </w:r>
          </w:p>
        </w:tc>
      </w:tr>
      <w:tr>
        <w:tblPrEx>
          <w:tblW w:w="5000" w:type="pct"/>
          <w:tblCellSpacing w:w="15" w:type="dxa"/>
          <w:tblInd w:w="25" w:type="dxa"/>
          <w:tblCellMar>
            <w:top w:w="15" w:type="dxa"/>
            <w:left w:w="15" w:type="dxa"/>
            <w:bottom w:w="15" w:type="dxa"/>
            <w:right w:w="15" w:type="dxa"/>
          </w:tblCellMar>
        </w:tblPrEx>
        <w:trPr>
          <w:tblCellSpacing w:w="15" w:type="dxa"/>
        </w:trPr>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19 </w:t>
            </w:r>
          </w:p>
        </w:tc>
        <w:tc>
          <w:tcPr>
            <w:tcW w:w="44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E017037 </w:t>
            </w:r>
          </w:p>
        </w:tc>
        <w:tc>
          <w:tcPr>
            <w:tcW w:w="17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ZDRAVNIK SPECIALIZANT I PPD3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VII/2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0 </w:t>
            </w:r>
          </w:p>
        </w:tc>
        <w:tc>
          <w:tcPr>
            <w:tcW w:w="12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  </w:t>
            </w:r>
          </w:p>
        </w:tc>
        <w:tc>
          <w:tcPr>
            <w:tcW w:w="50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31 </w:t>
            </w:r>
          </w:p>
        </w:tc>
        <w:tc>
          <w:tcPr>
            <w:tcW w:w="35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41 </w:t>
            </w:r>
          </w:p>
        </w:tc>
      </w:tr>
      <w:tr>
        <w:tblPrEx>
          <w:tblW w:w="5000" w:type="pct"/>
          <w:tblCellSpacing w:w="15" w:type="dxa"/>
          <w:tblInd w:w="25" w:type="dxa"/>
          <w:tblCellMar>
            <w:top w:w="15" w:type="dxa"/>
            <w:left w:w="15" w:type="dxa"/>
            <w:bottom w:w="15" w:type="dxa"/>
            <w:right w:w="15" w:type="dxa"/>
          </w:tblCellMar>
        </w:tblPrEx>
        <w:trPr>
          <w:tblCellSpacing w:w="15" w:type="dxa"/>
        </w:trPr>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20 </w:t>
            </w:r>
          </w:p>
        </w:tc>
        <w:tc>
          <w:tcPr>
            <w:tcW w:w="44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E017038 </w:t>
            </w:r>
          </w:p>
        </w:tc>
        <w:tc>
          <w:tcPr>
            <w:tcW w:w="17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VIŠJI ZDRAVNIK/ZOBOZDRAVNIK BREZ SPECIALIZACIJE Z LICENCO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VII/2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0 </w:t>
            </w:r>
          </w:p>
        </w:tc>
        <w:tc>
          <w:tcPr>
            <w:tcW w:w="12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  </w:t>
            </w:r>
          </w:p>
        </w:tc>
        <w:tc>
          <w:tcPr>
            <w:tcW w:w="50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35 </w:t>
            </w:r>
          </w:p>
        </w:tc>
        <w:tc>
          <w:tcPr>
            <w:tcW w:w="35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45 </w:t>
            </w:r>
          </w:p>
        </w:tc>
      </w:tr>
      <w:tr>
        <w:tblPrEx>
          <w:tblW w:w="5000" w:type="pct"/>
          <w:tblCellSpacing w:w="15" w:type="dxa"/>
          <w:tblInd w:w="25" w:type="dxa"/>
          <w:tblCellMar>
            <w:top w:w="15" w:type="dxa"/>
            <w:left w:w="15" w:type="dxa"/>
            <w:bottom w:w="15" w:type="dxa"/>
            <w:right w:w="15" w:type="dxa"/>
          </w:tblCellMar>
        </w:tblPrEx>
        <w:trPr>
          <w:tblCellSpacing w:w="15" w:type="dxa"/>
        </w:trPr>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21 </w:t>
            </w:r>
          </w:p>
        </w:tc>
        <w:tc>
          <w:tcPr>
            <w:tcW w:w="44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E017039 </w:t>
            </w:r>
          </w:p>
        </w:tc>
        <w:tc>
          <w:tcPr>
            <w:tcW w:w="17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VIŠJI ZDRAVNIK/ZOBOZDRAVNIK BREZ SPECIALIZACIJE Z LICENCO PPD1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VII/2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0 </w:t>
            </w:r>
          </w:p>
        </w:tc>
        <w:tc>
          <w:tcPr>
            <w:tcW w:w="12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  </w:t>
            </w:r>
          </w:p>
        </w:tc>
        <w:tc>
          <w:tcPr>
            <w:tcW w:w="50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42 </w:t>
            </w:r>
          </w:p>
        </w:tc>
        <w:tc>
          <w:tcPr>
            <w:tcW w:w="35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52 </w:t>
            </w:r>
          </w:p>
        </w:tc>
      </w:tr>
      <w:tr>
        <w:tblPrEx>
          <w:tblW w:w="5000" w:type="pct"/>
          <w:tblCellSpacing w:w="15" w:type="dxa"/>
          <w:tblInd w:w="25" w:type="dxa"/>
          <w:tblCellMar>
            <w:top w:w="15" w:type="dxa"/>
            <w:left w:w="15" w:type="dxa"/>
            <w:bottom w:w="15" w:type="dxa"/>
            <w:right w:w="15" w:type="dxa"/>
          </w:tblCellMar>
        </w:tblPrEx>
        <w:trPr>
          <w:tblCellSpacing w:w="15" w:type="dxa"/>
        </w:trPr>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22 </w:t>
            </w:r>
          </w:p>
        </w:tc>
        <w:tc>
          <w:tcPr>
            <w:tcW w:w="44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E017040 </w:t>
            </w:r>
          </w:p>
        </w:tc>
        <w:tc>
          <w:tcPr>
            <w:tcW w:w="17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VIŠJI ZDRAVNIK/ZOBOZDRAVNIK BREZ SPECIALIZACIJE Z LICENCO PPD2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VII/2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0 </w:t>
            </w:r>
          </w:p>
        </w:tc>
        <w:tc>
          <w:tcPr>
            <w:tcW w:w="12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  </w:t>
            </w:r>
          </w:p>
        </w:tc>
        <w:tc>
          <w:tcPr>
            <w:tcW w:w="50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39 </w:t>
            </w:r>
          </w:p>
        </w:tc>
        <w:tc>
          <w:tcPr>
            <w:tcW w:w="35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49 </w:t>
            </w:r>
          </w:p>
        </w:tc>
      </w:tr>
      <w:tr>
        <w:tblPrEx>
          <w:tblW w:w="5000" w:type="pct"/>
          <w:tblCellSpacing w:w="15" w:type="dxa"/>
          <w:tblInd w:w="25" w:type="dxa"/>
          <w:tblCellMar>
            <w:top w:w="15" w:type="dxa"/>
            <w:left w:w="15" w:type="dxa"/>
            <w:bottom w:w="15" w:type="dxa"/>
            <w:right w:w="15" w:type="dxa"/>
          </w:tblCellMar>
        </w:tblPrEx>
        <w:trPr>
          <w:tblCellSpacing w:w="15" w:type="dxa"/>
        </w:trPr>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23 </w:t>
            </w:r>
          </w:p>
        </w:tc>
        <w:tc>
          <w:tcPr>
            <w:tcW w:w="44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E017041 </w:t>
            </w:r>
          </w:p>
        </w:tc>
        <w:tc>
          <w:tcPr>
            <w:tcW w:w="17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VIŠJI ZDRAVNIK/ZOBOZDRAVNIK BREZ SPECIALIZACIJE Z LICENCO PPD3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VII/2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0 </w:t>
            </w:r>
          </w:p>
        </w:tc>
        <w:tc>
          <w:tcPr>
            <w:tcW w:w="12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  </w:t>
            </w:r>
          </w:p>
        </w:tc>
        <w:tc>
          <w:tcPr>
            <w:tcW w:w="50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38 </w:t>
            </w:r>
          </w:p>
        </w:tc>
        <w:tc>
          <w:tcPr>
            <w:tcW w:w="35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48 </w:t>
            </w:r>
          </w:p>
        </w:tc>
      </w:tr>
      <w:tr>
        <w:tblPrEx>
          <w:tblW w:w="5000" w:type="pct"/>
          <w:tblCellSpacing w:w="15" w:type="dxa"/>
          <w:tblInd w:w="25" w:type="dxa"/>
          <w:tblCellMar>
            <w:top w:w="15" w:type="dxa"/>
            <w:left w:w="15" w:type="dxa"/>
            <w:bottom w:w="15" w:type="dxa"/>
            <w:right w:w="15" w:type="dxa"/>
          </w:tblCellMar>
        </w:tblPrEx>
        <w:trPr>
          <w:tblCellSpacing w:w="15" w:type="dxa"/>
        </w:trPr>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24 </w:t>
            </w:r>
          </w:p>
        </w:tc>
        <w:tc>
          <w:tcPr>
            <w:tcW w:w="44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E017042 </w:t>
            </w:r>
          </w:p>
        </w:tc>
        <w:tc>
          <w:tcPr>
            <w:tcW w:w="17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ZDRAVNIK BREZ SPECIALIZACIJE Z OSNOVNO LICENCO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VII/2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0 </w:t>
            </w:r>
          </w:p>
        </w:tc>
        <w:tc>
          <w:tcPr>
            <w:tcW w:w="12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  </w:t>
            </w:r>
          </w:p>
        </w:tc>
        <w:tc>
          <w:tcPr>
            <w:tcW w:w="50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24 </w:t>
            </w:r>
          </w:p>
        </w:tc>
        <w:tc>
          <w:tcPr>
            <w:tcW w:w="35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34 </w:t>
            </w:r>
          </w:p>
        </w:tc>
      </w:tr>
      <w:tr>
        <w:tblPrEx>
          <w:tblW w:w="5000" w:type="pct"/>
          <w:tblCellSpacing w:w="15" w:type="dxa"/>
          <w:tblInd w:w="25" w:type="dxa"/>
          <w:tblCellMar>
            <w:top w:w="15" w:type="dxa"/>
            <w:left w:w="15" w:type="dxa"/>
            <w:bottom w:w="15" w:type="dxa"/>
            <w:right w:w="15" w:type="dxa"/>
          </w:tblCellMar>
        </w:tblPrEx>
        <w:trPr>
          <w:tblCellSpacing w:w="15" w:type="dxa"/>
        </w:trPr>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25 </w:t>
            </w:r>
          </w:p>
        </w:tc>
        <w:tc>
          <w:tcPr>
            <w:tcW w:w="44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E017043 </w:t>
            </w:r>
          </w:p>
        </w:tc>
        <w:tc>
          <w:tcPr>
            <w:tcW w:w="17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ZDRAVNIK BREZ SPECIALIZACIJE Z OSNOVNO LICENCO PPD1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VII/2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0 </w:t>
            </w:r>
          </w:p>
        </w:tc>
        <w:tc>
          <w:tcPr>
            <w:tcW w:w="12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  </w:t>
            </w:r>
          </w:p>
        </w:tc>
        <w:tc>
          <w:tcPr>
            <w:tcW w:w="50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28 </w:t>
            </w:r>
          </w:p>
        </w:tc>
        <w:tc>
          <w:tcPr>
            <w:tcW w:w="35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38 </w:t>
            </w:r>
          </w:p>
        </w:tc>
      </w:tr>
      <w:tr>
        <w:tblPrEx>
          <w:tblW w:w="5000" w:type="pct"/>
          <w:tblCellSpacing w:w="15" w:type="dxa"/>
          <w:tblInd w:w="25" w:type="dxa"/>
          <w:tblCellMar>
            <w:top w:w="15" w:type="dxa"/>
            <w:left w:w="15" w:type="dxa"/>
            <w:bottom w:w="15" w:type="dxa"/>
            <w:right w:w="15" w:type="dxa"/>
          </w:tblCellMar>
        </w:tblPrEx>
        <w:trPr>
          <w:tblCellSpacing w:w="15" w:type="dxa"/>
        </w:trPr>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26 </w:t>
            </w:r>
          </w:p>
        </w:tc>
        <w:tc>
          <w:tcPr>
            <w:tcW w:w="44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E017044 </w:t>
            </w:r>
          </w:p>
        </w:tc>
        <w:tc>
          <w:tcPr>
            <w:tcW w:w="17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ZDRAVNIK BREZ SPECIALIZACIJE Z OSNOVNO LICENCO PPD2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VII/2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0 </w:t>
            </w:r>
          </w:p>
        </w:tc>
        <w:tc>
          <w:tcPr>
            <w:tcW w:w="12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  </w:t>
            </w:r>
          </w:p>
        </w:tc>
        <w:tc>
          <w:tcPr>
            <w:tcW w:w="50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26 </w:t>
            </w:r>
          </w:p>
        </w:tc>
        <w:tc>
          <w:tcPr>
            <w:tcW w:w="35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36 </w:t>
            </w:r>
          </w:p>
        </w:tc>
      </w:tr>
      <w:tr>
        <w:tblPrEx>
          <w:tblW w:w="5000" w:type="pct"/>
          <w:tblCellSpacing w:w="15" w:type="dxa"/>
          <w:tblInd w:w="25" w:type="dxa"/>
          <w:tblCellMar>
            <w:top w:w="15" w:type="dxa"/>
            <w:left w:w="15" w:type="dxa"/>
            <w:bottom w:w="15" w:type="dxa"/>
            <w:right w:w="15" w:type="dxa"/>
          </w:tblCellMar>
        </w:tblPrEx>
        <w:trPr>
          <w:tblCellSpacing w:w="15" w:type="dxa"/>
        </w:trPr>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27 </w:t>
            </w:r>
          </w:p>
        </w:tc>
        <w:tc>
          <w:tcPr>
            <w:tcW w:w="44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E017045 </w:t>
            </w:r>
          </w:p>
        </w:tc>
        <w:tc>
          <w:tcPr>
            <w:tcW w:w="17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ZDRAVNIK BREZ SPECIALIZACIJE Z OSNOVNO LICENCO PPD3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VII/2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0 </w:t>
            </w:r>
          </w:p>
        </w:tc>
        <w:tc>
          <w:tcPr>
            <w:tcW w:w="12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  </w:t>
            </w:r>
          </w:p>
        </w:tc>
        <w:tc>
          <w:tcPr>
            <w:tcW w:w="50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25 </w:t>
            </w:r>
          </w:p>
        </w:tc>
        <w:tc>
          <w:tcPr>
            <w:tcW w:w="35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35 </w:t>
            </w:r>
          </w:p>
        </w:tc>
      </w:tr>
      <w:tr>
        <w:tblPrEx>
          <w:tblW w:w="5000" w:type="pct"/>
          <w:tblCellSpacing w:w="15" w:type="dxa"/>
          <w:tblInd w:w="25" w:type="dxa"/>
          <w:tblCellMar>
            <w:top w:w="15" w:type="dxa"/>
            <w:left w:w="15" w:type="dxa"/>
            <w:bottom w:w="15" w:type="dxa"/>
            <w:right w:w="15" w:type="dxa"/>
          </w:tblCellMar>
        </w:tblPrEx>
        <w:trPr>
          <w:tblCellSpacing w:w="15" w:type="dxa"/>
        </w:trPr>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28 </w:t>
            </w:r>
          </w:p>
        </w:tc>
        <w:tc>
          <w:tcPr>
            <w:tcW w:w="44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E017046 </w:t>
            </w:r>
          </w:p>
        </w:tc>
        <w:tc>
          <w:tcPr>
            <w:tcW w:w="17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ZDRAVNIK SEKUNDARIJ I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VII/2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0 </w:t>
            </w:r>
          </w:p>
        </w:tc>
        <w:tc>
          <w:tcPr>
            <w:tcW w:w="12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  </w:t>
            </w:r>
          </w:p>
        </w:tc>
        <w:tc>
          <w:tcPr>
            <w:tcW w:w="50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17 </w:t>
            </w:r>
          </w:p>
        </w:tc>
        <w:tc>
          <w:tcPr>
            <w:tcW w:w="35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27 </w:t>
            </w:r>
          </w:p>
        </w:tc>
      </w:tr>
      <w:tr>
        <w:tblPrEx>
          <w:tblW w:w="5000" w:type="pct"/>
          <w:tblCellSpacing w:w="15" w:type="dxa"/>
          <w:tblInd w:w="25" w:type="dxa"/>
          <w:tblCellMar>
            <w:top w:w="15" w:type="dxa"/>
            <w:left w:w="15" w:type="dxa"/>
            <w:bottom w:w="15" w:type="dxa"/>
            <w:right w:w="15" w:type="dxa"/>
          </w:tblCellMar>
        </w:tblPrEx>
        <w:trPr>
          <w:tblCellSpacing w:w="15" w:type="dxa"/>
        </w:trPr>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29 </w:t>
            </w:r>
          </w:p>
        </w:tc>
        <w:tc>
          <w:tcPr>
            <w:tcW w:w="44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E017047 </w:t>
            </w:r>
          </w:p>
        </w:tc>
        <w:tc>
          <w:tcPr>
            <w:tcW w:w="17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ZDRAVNIK SEKUNDARIJ II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VII/2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0 </w:t>
            </w:r>
          </w:p>
        </w:tc>
        <w:tc>
          <w:tcPr>
            <w:tcW w:w="12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  </w:t>
            </w:r>
          </w:p>
        </w:tc>
        <w:tc>
          <w:tcPr>
            <w:tcW w:w="50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23 </w:t>
            </w:r>
          </w:p>
        </w:tc>
        <w:tc>
          <w:tcPr>
            <w:tcW w:w="35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33 </w:t>
            </w:r>
          </w:p>
        </w:tc>
      </w:tr>
      <w:tr>
        <w:tblPrEx>
          <w:tblW w:w="5000" w:type="pct"/>
          <w:tblCellSpacing w:w="15" w:type="dxa"/>
          <w:tblInd w:w="25" w:type="dxa"/>
          <w:tblCellMar>
            <w:top w:w="15" w:type="dxa"/>
            <w:left w:w="15" w:type="dxa"/>
            <w:bottom w:w="15" w:type="dxa"/>
            <w:right w:w="15" w:type="dxa"/>
          </w:tblCellMar>
        </w:tblPrEx>
        <w:trPr>
          <w:tblCellSpacing w:w="15" w:type="dxa"/>
        </w:trPr>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30 </w:t>
            </w:r>
          </w:p>
        </w:tc>
        <w:tc>
          <w:tcPr>
            <w:tcW w:w="44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E017048 </w:t>
            </w:r>
          </w:p>
        </w:tc>
        <w:tc>
          <w:tcPr>
            <w:tcW w:w="17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ZOBOZDRAVNIK PRIPRAVNIK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VII/2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0 </w:t>
            </w:r>
          </w:p>
        </w:tc>
        <w:tc>
          <w:tcPr>
            <w:tcW w:w="12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  </w:t>
            </w:r>
          </w:p>
        </w:tc>
        <w:tc>
          <w:tcPr>
            <w:tcW w:w="50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17 </w:t>
            </w:r>
          </w:p>
        </w:tc>
        <w:tc>
          <w:tcPr>
            <w:tcW w:w="35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27 </w:t>
            </w:r>
          </w:p>
        </w:tc>
      </w:tr>
      <w:tr>
        <w:tblPrEx>
          <w:tblW w:w="5000" w:type="pct"/>
          <w:tblCellSpacing w:w="15" w:type="dxa"/>
          <w:tblInd w:w="25" w:type="dxa"/>
          <w:tblCellMar>
            <w:top w:w="15" w:type="dxa"/>
            <w:left w:w="15" w:type="dxa"/>
            <w:bottom w:w="15" w:type="dxa"/>
            <w:right w:w="15" w:type="dxa"/>
          </w:tblCellMar>
        </w:tblPrEx>
        <w:trPr>
          <w:tblCellSpacing w:w="15" w:type="dxa"/>
        </w:trPr>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31 </w:t>
            </w:r>
          </w:p>
        </w:tc>
        <w:tc>
          <w:tcPr>
            <w:tcW w:w="44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E018017 </w:t>
            </w:r>
          </w:p>
        </w:tc>
        <w:tc>
          <w:tcPr>
            <w:tcW w:w="17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ZDRAVNIK SVETOVALEC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VIII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1 </w:t>
            </w:r>
          </w:p>
        </w:tc>
        <w:tc>
          <w:tcPr>
            <w:tcW w:w="12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ZDRAVNIK SVETOVALEC VIŠJI SVETNIK </w:t>
            </w:r>
          </w:p>
        </w:tc>
        <w:tc>
          <w:tcPr>
            <w:tcW w:w="50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44 </w:t>
            </w:r>
          </w:p>
        </w:tc>
        <w:tc>
          <w:tcPr>
            <w:tcW w:w="35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54 </w:t>
            </w:r>
          </w:p>
        </w:tc>
      </w:tr>
      <w:tr>
        <w:tblPrEx>
          <w:tblW w:w="5000" w:type="pct"/>
          <w:tblCellSpacing w:w="15" w:type="dxa"/>
          <w:tblInd w:w="25" w:type="dxa"/>
          <w:tblCellMar>
            <w:top w:w="15" w:type="dxa"/>
            <w:left w:w="15" w:type="dxa"/>
            <w:bottom w:w="15" w:type="dxa"/>
            <w:right w:w="15" w:type="dxa"/>
          </w:tblCellMar>
        </w:tblPrEx>
        <w:trPr>
          <w:tblCellSpacing w:w="15" w:type="dxa"/>
        </w:trPr>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32 </w:t>
            </w:r>
          </w:p>
        </w:tc>
        <w:tc>
          <w:tcPr>
            <w:tcW w:w="44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E018017 </w:t>
            </w:r>
          </w:p>
        </w:tc>
        <w:tc>
          <w:tcPr>
            <w:tcW w:w="17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ZDRAVNIK SVETOVALEC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VIII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2 </w:t>
            </w:r>
          </w:p>
        </w:tc>
        <w:tc>
          <w:tcPr>
            <w:tcW w:w="12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ZDRAVNIK SVETOVALEC SVETNIK </w:t>
            </w:r>
          </w:p>
        </w:tc>
        <w:tc>
          <w:tcPr>
            <w:tcW w:w="50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39 </w:t>
            </w:r>
          </w:p>
        </w:tc>
        <w:tc>
          <w:tcPr>
            <w:tcW w:w="35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49 </w:t>
            </w:r>
          </w:p>
        </w:tc>
      </w:tr>
      <w:tr>
        <w:tblPrEx>
          <w:tblW w:w="5000" w:type="pct"/>
          <w:tblCellSpacing w:w="15" w:type="dxa"/>
          <w:tblInd w:w="25" w:type="dxa"/>
          <w:tblCellMar>
            <w:top w:w="15" w:type="dxa"/>
            <w:left w:w="15" w:type="dxa"/>
            <w:bottom w:w="15" w:type="dxa"/>
            <w:right w:w="15" w:type="dxa"/>
          </w:tblCellMar>
        </w:tblPrEx>
        <w:trPr>
          <w:tblCellSpacing w:w="15" w:type="dxa"/>
        </w:trPr>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33 </w:t>
            </w:r>
          </w:p>
        </w:tc>
        <w:tc>
          <w:tcPr>
            <w:tcW w:w="44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E018017 </w:t>
            </w:r>
          </w:p>
        </w:tc>
        <w:tc>
          <w:tcPr>
            <w:tcW w:w="17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ZDRAVNIK SVETOVALEC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VIII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3 </w:t>
            </w:r>
          </w:p>
        </w:tc>
        <w:tc>
          <w:tcPr>
            <w:tcW w:w="12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ZDRAVNIK SVETOVALEC PRIMARIJ </w:t>
            </w:r>
          </w:p>
        </w:tc>
        <w:tc>
          <w:tcPr>
            <w:tcW w:w="50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36 </w:t>
            </w:r>
          </w:p>
        </w:tc>
        <w:tc>
          <w:tcPr>
            <w:tcW w:w="35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46 </w:t>
            </w:r>
          </w:p>
        </w:tc>
      </w:tr>
      <w:tr>
        <w:tblPrEx>
          <w:tblW w:w="5000" w:type="pct"/>
          <w:tblCellSpacing w:w="15" w:type="dxa"/>
          <w:tblInd w:w="25" w:type="dxa"/>
          <w:tblCellMar>
            <w:top w:w="15" w:type="dxa"/>
            <w:left w:w="15" w:type="dxa"/>
            <w:bottom w:w="15" w:type="dxa"/>
            <w:right w:w="15" w:type="dxa"/>
          </w:tblCellMar>
        </w:tblPrEx>
        <w:trPr>
          <w:tblCellSpacing w:w="15" w:type="dxa"/>
        </w:trPr>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34 </w:t>
            </w:r>
          </w:p>
        </w:tc>
        <w:tc>
          <w:tcPr>
            <w:tcW w:w="44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E018018 </w:t>
            </w:r>
          </w:p>
        </w:tc>
        <w:tc>
          <w:tcPr>
            <w:tcW w:w="17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ZDRAVNIK SPECIALIST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VIII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0 </w:t>
            </w:r>
          </w:p>
        </w:tc>
        <w:tc>
          <w:tcPr>
            <w:tcW w:w="12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  </w:t>
            </w:r>
          </w:p>
        </w:tc>
        <w:tc>
          <w:tcPr>
            <w:tcW w:w="50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34 </w:t>
            </w:r>
          </w:p>
        </w:tc>
        <w:tc>
          <w:tcPr>
            <w:tcW w:w="35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44 </w:t>
            </w:r>
          </w:p>
        </w:tc>
      </w:tr>
      <w:tr>
        <w:tblPrEx>
          <w:tblW w:w="5000" w:type="pct"/>
          <w:tblCellSpacing w:w="15" w:type="dxa"/>
          <w:tblInd w:w="25" w:type="dxa"/>
          <w:tblCellMar>
            <w:top w:w="15" w:type="dxa"/>
            <w:left w:w="15" w:type="dxa"/>
            <w:bottom w:w="15" w:type="dxa"/>
            <w:right w:w="15" w:type="dxa"/>
          </w:tblCellMar>
        </w:tblPrEx>
        <w:trPr>
          <w:tblCellSpacing w:w="15" w:type="dxa"/>
        </w:trPr>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35 </w:t>
            </w:r>
          </w:p>
        </w:tc>
        <w:tc>
          <w:tcPr>
            <w:tcW w:w="44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E018019 </w:t>
            </w:r>
          </w:p>
        </w:tc>
        <w:tc>
          <w:tcPr>
            <w:tcW w:w="17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ZDRAVNIK SPECIALIST PPD1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VIII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0 </w:t>
            </w:r>
          </w:p>
        </w:tc>
        <w:tc>
          <w:tcPr>
            <w:tcW w:w="12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  </w:t>
            </w:r>
          </w:p>
        </w:tc>
        <w:tc>
          <w:tcPr>
            <w:tcW w:w="50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40 </w:t>
            </w:r>
          </w:p>
        </w:tc>
        <w:tc>
          <w:tcPr>
            <w:tcW w:w="35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50 </w:t>
            </w:r>
          </w:p>
        </w:tc>
      </w:tr>
      <w:tr>
        <w:tblPrEx>
          <w:tblW w:w="5000" w:type="pct"/>
          <w:tblCellSpacing w:w="15" w:type="dxa"/>
          <w:tblInd w:w="25" w:type="dxa"/>
          <w:tblCellMar>
            <w:top w:w="15" w:type="dxa"/>
            <w:left w:w="15" w:type="dxa"/>
            <w:bottom w:w="15" w:type="dxa"/>
            <w:right w:w="15" w:type="dxa"/>
          </w:tblCellMar>
        </w:tblPrEx>
        <w:trPr>
          <w:tblCellSpacing w:w="15" w:type="dxa"/>
        </w:trPr>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36 </w:t>
            </w:r>
          </w:p>
        </w:tc>
        <w:tc>
          <w:tcPr>
            <w:tcW w:w="44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E018020 </w:t>
            </w:r>
          </w:p>
        </w:tc>
        <w:tc>
          <w:tcPr>
            <w:tcW w:w="17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ZDRAVNIK SPECIALIST PPD2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VIII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0 </w:t>
            </w:r>
          </w:p>
        </w:tc>
        <w:tc>
          <w:tcPr>
            <w:tcW w:w="12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  </w:t>
            </w:r>
          </w:p>
        </w:tc>
        <w:tc>
          <w:tcPr>
            <w:tcW w:w="50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38 </w:t>
            </w:r>
          </w:p>
        </w:tc>
        <w:tc>
          <w:tcPr>
            <w:tcW w:w="35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48 </w:t>
            </w:r>
          </w:p>
        </w:tc>
      </w:tr>
      <w:tr>
        <w:tblPrEx>
          <w:tblW w:w="5000" w:type="pct"/>
          <w:tblCellSpacing w:w="15" w:type="dxa"/>
          <w:tblInd w:w="25" w:type="dxa"/>
          <w:tblCellMar>
            <w:top w:w="15" w:type="dxa"/>
            <w:left w:w="15" w:type="dxa"/>
            <w:bottom w:w="15" w:type="dxa"/>
            <w:right w:w="15" w:type="dxa"/>
          </w:tblCellMar>
        </w:tblPrEx>
        <w:trPr>
          <w:tblCellSpacing w:w="15" w:type="dxa"/>
        </w:trPr>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37 </w:t>
            </w:r>
          </w:p>
        </w:tc>
        <w:tc>
          <w:tcPr>
            <w:tcW w:w="44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E018021 </w:t>
            </w:r>
          </w:p>
        </w:tc>
        <w:tc>
          <w:tcPr>
            <w:tcW w:w="17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ZDRAVNIK SPECIALIST PPD3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VIII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0 </w:t>
            </w:r>
          </w:p>
        </w:tc>
        <w:tc>
          <w:tcPr>
            <w:tcW w:w="12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  </w:t>
            </w:r>
          </w:p>
        </w:tc>
        <w:tc>
          <w:tcPr>
            <w:tcW w:w="50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36 </w:t>
            </w:r>
          </w:p>
        </w:tc>
        <w:tc>
          <w:tcPr>
            <w:tcW w:w="35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46 </w:t>
            </w:r>
          </w:p>
        </w:tc>
      </w:tr>
      <w:tr>
        <w:tblPrEx>
          <w:tblW w:w="5000" w:type="pct"/>
          <w:tblCellSpacing w:w="15" w:type="dxa"/>
          <w:tblInd w:w="25" w:type="dxa"/>
          <w:tblCellMar>
            <w:top w:w="15" w:type="dxa"/>
            <w:left w:w="15" w:type="dxa"/>
            <w:bottom w:w="15" w:type="dxa"/>
            <w:right w:w="15" w:type="dxa"/>
          </w:tblCellMar>
        </w:tblPrEx>
        <w:trPr>
          <w:tblCellSpacing w:w="15" w:type="dxa"/>
        </w:trPr>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38 </w:t>
            </w:r>
          </w:p>
        </w:tc>
        <w:tc>
          <w:tcPr>
            <w:tcW w:w="44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E018022 </w:t>
            </w:r>
          </w:p>
        </w:tc>
        <w:tc>
          <w:tcPr>
            <w:tcW w:w="17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VIŠJI ZDRAVNIK SPECIALIST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VIII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0 </w:t>
            </w:r>
          </w:p>
        </w:tc>
        <w:tc>
          <w:tcPr>
            <w:tcW w:w="12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  </w:t>
            </w:r>
          </w:p>
        </w:tc>
        <w:tc>
          <w:tcPr>
            <w:tcW w:w="50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40 </w:t>
            </w:r>
          </w:p>
        </w:tc>
        <w:tc>
          <w:tcPr>
            <w:tcW w:w="35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50 </w:t>
            </w:r>
          </w:p>
        </w:tc>
      </w:tr>
      <w:tr>
        <w:tblPrEx>
          <w:tblW w:w="5000" w:type="pct"/>
          <w:tblCellSpacing w:w="15" w:type="dxa"/>
          <w:tblInd w:w="25" w:type="dxa"/>
          <w:tblCellMar>
            <w:top w:w="15" w:type="dxa"/>
            <w:left w:w="15" w:type="dxa"/>
            <w:bottom w:w="15" w:type="dxa"/>
            <w:right w:w="15" w:type="dxa"/>
          </w:tblCellMar>
        </w:tblPrEx>
        <w:trPr>
          <w:tblCellSpacing w:w="15" w:type="dxa"/>
        </w:trPr>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39 </w:t>
            </w:r>
          </w:p>
        </w:tc>
        <w:tc>
          <w:tcPr>
            <w:tcW w:w="44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E018023 </w:t>
            </w:r>
          </w:p>
        </w:tc>
        <w:tc>
          <w:tcPr>
            <w:tcW w:w="17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VIŠJI ZDRAVNIK SPECIALIST PPD1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VIII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0 </w:t>
            </w:r>
          </w:p>
        </w:tc>
        <w:tc>
          <w:tcPr>
            <w:tcW w:w="12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  </w:t>
            </w:r>
          </w:p>
        </w:tc>
        <w:tc>
          <w:tcPr>
            <w:tcW w:w="50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47 </w:t>
            </w:r>
          </w:p>
        </w:tc>
        <w:tc>
          <w:tcPr>
            <w:tcW w:w="35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57 </w:t>
            </w:r>
          </w:p>
        </w:tc>
      </w:tr>
      <w:tr>
        <w:tblPrEx>
          <w:tblW w:w="5000" w:type="pct"/>
          <w:tblCellSpacing w:w="15" w:type="dxa"/>
          <w:tblInd w:w="25" w:type="dxa"/>
          <w:tblCellMar>
            <w:top w:w="15" w:type="dxa"/>
            <w:left w:w="15" w:type="dxa"/>
            <w:bottom w:w="15" w:type="dxa"/>
            <w:right w:w="15" w:type="dxa"/>
          </w:tblCellMar>
        </w:tblPrEx>
        <w:trPr>
          <w:tblCellSpacing w:w="15" w:type="dxa"/>
        </w:trPr>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40 </w:t>
            </w:r>
          </w:p>
        </w:tc>
        <w:tc>
          <w:tcPr>
            <w:tcW w:w="44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E018024 </w:t>
            </w:r>
          </w:p>
        </w:tc>
        <w:tc>
          <w:tcPr>
            <w:tcW w:w="17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VIŠJI ZDRAVNIK SPECIALIST PPD2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VIII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0 </w:t>
            </w:r>
          </w:p>
        </w:tc>
        <w:tc>
          <w:tcPr>
            <w:tcW w:w="12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  </w:t>
            </w:r>
          </w:p>
        </w:tc>
        <w:tc>
          <w:tcPr>
            <w:tcW w:w="50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44 </w:t>
            </w:r>
          </w:p>
        </w:tc>
        <w:tc>
          <w:tcPr>
            <w:tcW w:w="35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54 </w:t>
            </w:r>
          </w:p>
        </w:tc>
      </w:tr>
      <w:tr>
        <w:tblPrEx>
          <w:tblW w:w="5000" w:type="pct"/>
          <w:tblCellSpacing w:w="15" w:type="dxa"/>
          <w:tblInd w:w="25" w:type="dxa"/>
          <w:tblCellMar>
            <w:top w:w="15" w:type="dxa"/>
            <w:left w:w="15" w:type="dxa"/>
            <w:bottom w:w="15" w:type="dxa"/>
            <w:right w:w="15" w:type="dxa"/>
          </w:tblCellMar>
        </w:tblPrEx>
        <w:trPr>
          <w:tblCellSpacing w:w="15" w:type="dxa"/>
        </w:trPr>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41 </w:t>
            </w:r>
          </w:p>
        </w:tc>
        <w:tc>
          <w:tcPr>
            <w:tcW w:w="44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E018025 </w:t>
            </w:r>
          </w:p>
        </w:tc>
        <w:tc>
          <w:tcPr>
            <w:tcW w:w="17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VIŠJI ZDRAVNIK SPECIALIST PPD3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VIII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0 </w:t>
            </w:r>
          </w:p>
        </w:tc>
        <w:tc>
          <w:tcPr>
            <w:tcW w:w="12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  </w:t>
            </w:r>
          </w:p>
        </w:tc>
        <w:tc>
          <w:tcPr>
            <w:tcW w:w="50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43 </w:t>
            </w:r>
          </w:p>
        </w:tc>
        <w:tc>
          <w:tcPr>
            <w:tcW w:w="35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53 </w:t>
            </w:r>
          </w:p>
        </w:tc>
      </w:tr>
      <w:tr>
        <w:tblPrEx>
          <w:tblW w:w="5000" w:type="pct"/>
          <w:tblCellSpacing w:w="15" w:type="dxa"/>
          <w:tblInd w:w="25" w:type="dxa"/>
          <w:tblCellMar>
            <w:top w:w="15" w:type="dxa"/>
            <w:left w:w="15" w:type="dxa"/>
            <w:bottom w:w="15" w:type="dxa"/>
            <w:right w:w="15" w:type="dxa"/>
          </w:tblCellMar>
        </w:tblPrEx>
        <w:trPr>
          <w:tblCellSpacing w:w="15" w:type="dxa"/>
        </w:trPr>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42 </w:t>
            </w:r>
          </w:p>
        </w:tc>
        <w:tc>
          <w:tcPr>
            <w:tcW w:w="44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E017049 </w:t>
            </w:r>
          </w:p>
        </w:tc>
        <w:tc>
          <w:tcPr>
            <w:tcW w:w="17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STAREJŠI ZDRAVNIK/ZOBOZDRAVNIK Z LICENCO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VII/2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0 </w:t>
            </w:r>
          </w:p>
        </w:tc>
        <w:tc>
          <w:tcPr>
            <w:tcW w:w="12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  </w:t>
            </w:r>
          </w:p>
        </w:tc>
        <w:tc>
          <w:tcPr>
            <w:tcW w:w="50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38 </w:t>
            </w:r>
          </w:p>
        </w:tc>
        <w:tc>
          <w:tcPr>
            <w:tcW w:w="35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48 </w:t>
            </w:r>
          </w:p>
        </w:tc>
      </w:tr>
      <w:tr>
        <w:tblPrEx>
          <w:tblW w:w="5000" w:type="pct"/>
          <w:tblCellSpacing w:w="15" w:type="dxa"/>
          <w:tblInd w:w="25" w:type="dxa"/>
          <w:tblCellMar>
            <w:top w:w="15" w:type="dxa"/>
            <w:left w:w="15" w:type="dxa"/>
            <w:bottom w:w="15" w:type="dxa"/>
            <w:right w:w="15" w:type="dxa"/>
          </w:tblCellMar>
        </w:tblPrEx>
        <w:trPr>
          <w:tblCellSpacing w:w="15" w:type="dxa"/>
        </w:trPr>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43 </w:t>
            </w:r>
          </w:p>
        </w:tc>
        <w:tc>
          <w:tcPr>
            <w:tcW w:w="44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E017050 </w:t>
            </w:r>
          </w:p>
        </w:tc>
        <w:tc>
          <w:tcPr>
            <w:tcW w:w="17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STAREJŠI ZDRAVNIK/ZOBOZDRAVNIK Z LICENCO PPD1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VII/2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0 </w:t>
            </w:r>
          </w:p>
        </w:tc>
        <w:tc>
          <w:tcPr>
            <w:tcW w:w="12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  </w:t>
            </w:r>
          </w:p>
        </w:tc>
        <w:tc>
          <w:tcPr>
            <w:tcW w:w="50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44 </w:t>
            </w:r>
          </w:p>
        </w:tc>
        <w:tc>
          <w:tcPr>
            <w:tcW w:w="35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54 </w:t>
            </w:r>
          </w:p>
        </w:tc>
      </w:tr>
      <w:tr>
        <w:tblPrEx>
          <w:tblW w:w="5000" w:type="pct"/>
          <w:tblCellSpacing w:w="15" w:type="dxa"/>
          <w:tblInd w:w="25" w:type="dxa"/>
          <w:tblCellMar>
            <w:top w:w="15" w:type="dxa"/>
            <w:left w:w="15" w:type="dxa"/>
            <w:bottom w:w="15" w:type="dxa"/>
            <w:right w:w="15" w:type="dxa"/>
          </w:tblCellMar>
        </w:tblPrEx>
        <w:trPr>
          <w:tblCellSpacing w:w="15" w:type="dxa"/>
        </w:trPr>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44 </w:t>
            </w:r>
          </w:p>
        </w:tc>
        <w:tc>
          <w:tcPr>
            <w:tcW w:w="44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E017051 </w:t>
            </w:r>
          </w:p>
        </w:tc>
        <w:tc>
          <w:tcPr>
            <w:tcW w:w="17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STAREJŠI ZDRAVNIK/ZOBOZDRAVNIK Z LICENCO PPD2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VII/2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0 </w:t>
            </w:r>
          </w:p>
        </w:tc>
        <w:tc>
          <w:tcPr>
            <w:tcW w:w="12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  </w:t>
            </w:r>
          </w:p>
        </w:tc>
        <w:tc>
          <w:tcPr>
            <w:tcW w:w="50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42 </w:t>
            </w:r>
          </w:p>
        </w:tc>
        <w:tc>
          <w:tcPr>
            <w:tcW w:w="35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52 </w:t>
            </w:r>
          </w:p>
        </w:tc>
      </w:tr>
      <w:tr>
        <w:tblPrEx>
          <w:tblW w:w="5000" w:type="pct"/>
          <w:tblCellSpacing w:w="15" w:type="dxa"/>
          <w:tblInd w:w="25" w:type="dxa"/>
          <w:tblCellMar>
            <w:top w:w="15" w:type="dxa"/>
            <w:left w:w="15" w:type="dxa"/>
            <w:bottom w:w="15" w:type="dxa"/>
            <w:right w:w="15" w:type="dxa"/>
          </w:tblCellMar>
        </w:tblPrEx>
        <w:trPr>
          <w:tblCellSpacing w:w="15" w:type="dxa"/>
        </w:trPr>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45 </w:t>
            </w:r>
          </w:p>
        </w:tc>
        <w:tc>
          <w:tcPr>
            <w:tcW w:w="44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E017052 </w:t>
            </w:r>
          </w:p>
        </w:tc>
        <w:tc>
          <w:tcPr>
            <w:tcW w:w="17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STAREJŠI ZDRAVNIK/ZOBOZDRAVNIK Z LICENCO PPD3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VII/2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0 </w:t>
            </w:r>
          </w:p>
        </w:tc>
        <w:tc>
          <w:tcPr>
            <w:tcW w:w="12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  </w:t>
            </w:r>
          </w:p>
        </w:tc>
        <w:tc>
          <w:tcPr>
            <w:tcW w:w="50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40 </w:t>
            </w:r>
          </w:p>
        </w:tc>
        <w:tc>
          <w:tcPr>
            <w:tcW w:w="35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50 </w:t>
            </w:r>
          </w:p>
        </w:tc>
      </w:tr>
      <w:tr>
        <w:tblPrEx>
          <w:tblW w:w="5000" w:type="pct"/>
          <w:tblCellSpacing w:w="15" w:type="dxa"/>
          <w:tblInd w:w="25" w:type="dxa"/>
          <w:tblCellMar>
            <w:top w:w="15" w:type="dxa"/>
            <w:left w:w="15" w:type="dxa"/>
            <w:bottom w:w="15" w:type="dxa"/>
            <w:right w:w="15" w:type="dxa"/>
          </w:tblCellMar>
        </w:tblPrEx>
        <w:trPr>
          <w:tblCellSpacing w:w="15" w:type="dxa"/>
        </w:trPr>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46 </w:t>
            </w:r>
          </w:p>
        </w:tc>
        <w:tc>
          <w:tcPr>
            <w:tcW w:w="44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E018026 </w:t>
            </w:r>
          </w:p>
        </w:tc>
        <w:tc>
          <w:tcPr>
            <w:tcW w:w="17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STAREJŠI ZDRAVNIK SPECIALIST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VIII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0 </w:t>
            </w:r>
          </w:p>
        </w:tc>
        <w:tc>
          <w:tcPr>
            <w:tcW w:w="12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  </w:t>
            </w:r>
          </w:p>
        </w:tc>
        <w:tc>
          <w:tcPr>
            <w:tcW w:w="50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43 </w:t>
            </w:r>
          </w:p>
        </w:tc>
        <w:tc>
          <w:tcPr>
            <w:tcW w:w="35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53 </w:t>
            </w:r>
          </w:p>
        </w:tc>
      </w:tr>
      <w:tr>
        <w:tblPrEx>
          <w:tblW w:w="5000" w:type="pct"/>
          <w:tblCellSpacing w:w="15" w:type="dxa"/>
          <w:tblInd w:w="25" w:type="dxa"/>
          <w:tblCellMar>
            <w:top w:w="15" w:type="dxa"/>
            <w:left w:w="15" w:type="dxa"/>
            <w:bottom w:w="15" w:type="dxa"/>
            <w:right w:w="15" w:type="dxa"/>
          </w:tblCellMar>
        </w:tblPrEx>
        <w:trPr>
          <w:tblCellSpacing w:w="15" w:type="dxa"/>
        </w:trPr>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47 </w:t>
            </w:r>
          </w:p>
        </w:tc>
        <w:tc>
          <w:tcPr>
            <w:tcW w:w="44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E018027 </w:t>
            </w:r>
          </w:p>
        </w:tc>
        <w:tc>
          <w:tcPr>
            <w:tcW w:w="17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STAREJŠI ZDRAVNIK SPECIALIST PPD1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VIII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0 </w:t>
            </w:r>
          </w:p>
        </w:tc>
        <w:tc>
          <w:tcPr>
            <w:tcW w:w="12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  </w:t>
            </w:r>
          </w:p>
        </w:tc>
        <w:tc>
          <w:tcPr>
            <w:tcW w:w="50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50 </w:t>
            </w:r>
          </w:p>
        </w:tc>
        <w:tc>
          <w:tcPr>
            <w:tcW w:w="35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60 </w:t>
            </w:r>
          </w:p>
        </w:tc>
      </w:tr>
      <w:tr>
        <w:tblPrEx>
          <w:tblW w:w="5000" w:type="pct"/>
          <w:tblCellSpacing w:w="15" w:type="dxa"/>
          <w:tblInd w:w="25" w:type="dxa"/>
          <w:tblCellMar>
            <w:top w:w="15" w:type="dxa"/>
            <w:left w:w="15" w:type="dxa"/>
            <w:bottom w:w="15" w:type="dxa"/>
            <w:right w:w="15" w:type="dxa"/>
          </w:tblCellMar>
        </w:tblPrEx>
        <w:trPr>
          <w:tblCellSpacing w:w="15" w:type="dxa"/>
        </w:trPr>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48 </w:t>
            </w:r>
          </w:p>
        </w:tc>
        <w:tc>
          <w:tcPr>
            <w:tcW w:w="44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E018028 </w:t>
            </w:r>
          </w:p>
        </w:tc>
        <w:tc>
          <w:tcPr>
            <w:tcW w:w="17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STAREJŠI ZDRAVNIK SPECIALIST PPD2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VIII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0 </w:t>
            </w:r>
          </w:p>
        </w:tc>
        <w:tc>
          <w:tcPr>
            <w:tcW w:w="12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  </w:t>
            </w:r>
          </w:p>
        </w:tc>
        <w:tc>
          <w:tcPr>
            <w:tcW w:w="50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47 </w:t>
            </w:r>
          </w:p>
        </w:tc>
        <w:tc>
          <w:tcPr>
            <w:tcW w:w="35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57 </w:t>
            </w:r>
          </w:p>
        </w:tc>
      </w:tr>
      <w:tr>
        <w:tblPrEx>
          <w:tblW w:w="5000" w:type="pct"/>
          <w:tblCellSpacing w:w="15" w:type="dxa"/>
          <w:tblInd w:w="25" w:type="dxa"/>
          <w:tblCellMar>
            <w:top w:w="15" w:type="dxa"/>
            <w:left w:w="15" w:type="dxa"/>
            <w:bottom w:w="15" w:type="dxa"/>
            <w:right w:w="15" w:type="dxa"/>
          </w:tblCellMar>
        </w:tblPrEx>
        <w:trPr>
          <w:tblCellSpacing w:w="15" w:type="dxa"/>
        </w:trPr>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49 </w:t>
            </w:r>
          </w:p>
        </w:tc>
        <w:tc>
          <w:tcPr>
            <w:tcW w:w="44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E018029 </w:t>
            </w:r>
          </w:p>
        </w:tc>
        <w:tc>
          <w:tcPr>
            <w:tcW w:w="17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STAREJŠI ZDRAVNIK SPECIALIST PPD3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VIII </w:t>
            </w:r>
          </w:p>
        </w:tc>
        <w:tc>
          <w:tcPr>
            <w:tcW w:w="26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0 </w:t>
            </w:r>
          </w:p>
        </w:tc>
        <w:tc>
          <w:tcPr>
            <w:tcW w:w="120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  </w:t>
            </w:r>
          </w:p>
        </w:tc>
        <w:tc>
          <w:tcPr>
            <w:tcW w:w="50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46 </w:t>
            </w:r>
          </w:p>
        </w:tc>
        <w:tc>
          <w:tcPr>
            <w:tcW w:w="35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56 </w:t>
            </w:r>
          </w:p>
        </w:tc>
      </w:tr>
    </w:tbl>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(prevedba plačnih razredov delovnih mest in nazivov)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Prevedba plačnih razredov delovnih mest in nazivov plačne podskupine E1, izvedena na podlagi 95. člena Zakona o skupnih temeljih sistema plač v javnem sektorju (Uradni list RS, št. 95/24, v nadaljnjem besedilu: ZSTSPJS), je Priloga 1 tega aneksa.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Prevedba plačnih razredov delovnih mest in nazivov plačne podskupine E1, ki so na novo določena s tem aneksom, izvedena na podlagi 95. člena ZSTSPJS, je Priloga 3 tega aneksa.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Premestitev javnih uslužbencev iz ukinjenih delovnih mest na novo delovno mesto v plačni podskupini E1 je Priloga 4 tega aneksa.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(premestitev javnih uslužbencev na delovna mesta)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Javni uslužbenci, ki na dan 31. decembra 2024 zasedajo delovna mesta in nazive, določene in uvrščene v plačni razred s Posebnim tarifnim delom Kolektivne pogodbe za zdravnike in zobozdravnike v Republiki Sloveniji zaradi realizacije Zakona o sistemu plač v javnem sektorju (Uradni list RS, št. 60/08, 16/17, 136/22 in 165/22), ki jih ta aneks ne vsebuje več, se 1. januarja 2025 premestijo na delovna mesta in nazive iz tega aneksa v skladu s Prilogo 4 tega aneksa.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Javni uslužbenci, ki na dan 31. decembra 2024 zasedajo delovna mesta, ki jih ta aneks zgolj preimenuje in ohranijo isto šifro delovnega mesta, se ne premestijo na nova delovna mesta, ampak se prevedejo v plačni razred na preimenovanem delovnem mestu z isto šifro.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(postopek zasedbe delovnega mesta višji zdravnik/zobozdravnik brez specializacije z licenco)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Šesti odstavek 3. člena Posebnega tarifnega dela Kolektivne pogodbe za zdravnike in zobozdravnike v Republiki Sloveniji zaradi realizacije Zakona o sistemu plač v javnem sektorju (Uradni list RS, št. 60/08, 16/17, 136/22 in 165/22) se spremeni tako, da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»Predlog za zasedbo delovnega mesta višjih zdravnikov/zobozdravnikov brez specializacije z licenco poda neposredni vodja in preveri izpolnjevanje pogojev za zasedbo delovnega mesta. Izpolnjevanje pogojev mora biti izkazano in dokumentirano. Odločitev o razporeditvi na delovno mesto višji zdravnik/zobozdravnik poda strokovni kolegij oziroma strokovni vodja v roku 30 dni od prejetega predloga. O razporeditvi na delovno mesto se ponudi nova pogodba o zaposlitvi. Dopustna je revizija postopka preverjanja izpolnjevanja pogojev za zasedbo delovnega mesta, ki jo lahko zahteva zaposleni ali neposredni vodja. V primeru revizijskega postopka dokončno odločitev glede izpolnjevanja pogojev za zasedbo delovnega mesta sprejme strokovni kolegij oziroma strokovni vodja.«.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(postopek zasedbe delovnega mesta višji zdravnik specialist)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Četrti odstavek 4. člena Posebnega tarifnega dela Kolektivne pogodbe za zdravnike in zobozdravnike v Republiki Sloveniji zaradi realizacije Zakona o sistemu plač v javnem sektorju (Uradni list RS, št. 60/08, 16/17, 136/22 in 165/22) se spremeni tako, da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»Predlog za zasedbo delovnega mesta višjih zdravnikov specialistov poda neposredni vodja in preveri izpolnjevanje pogojev za zasedbo delovnega mesta. Izpolnjevanje pogojev mora biti izkazano in dokumentirano. Odločitev o razporeditvi na delovno mesto višjih specialistov poda strokovni kolegij oziroma strokovni vodja v roku 30 dni od prejetega predloga. O razporeditvi na delovno mesto se ponudi nova pogodba o zaposlitvi. Dopustna je revizija postopka preverjanja izpolnjevanja pogojev za zasedbo delovnega mesta, ki jo lahko zahteva zaposleni ali neposredni vodja. V primeru revizijskega postopka dokončno odločitev glede izpolnjevanja pogojev za zasedbo delovnega mesta sprejme strokovni kolegij oziroma strokovni vodja.«.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(kriteriji za razvrščanje na delovno mesto starejši zdravnik/zobozdravnik)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 delovno mesto starejši zdravnik/zobozdravnik se razporedi višji zdravnik/zobozdravnik, ki izpolnjuje naslednje pogoje: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najmanj 20 let delovnih izkušenj po opravljenem strokovnem izpitu,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da je v zadnjih štirih letih zbral povprečno na leto najmanj 20 kreditnih točk, ki so v skladu s predpisom, ki ureja zdravniške licence, potrebne za podaljšanje licence,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prenos znanja na druge zdravnike/zobozdravnike in druge zdravstvene delavce,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sodelovanje, oblikovanje ali uvajanje novih kliničnih poti, strokovnih smernic, protokola, če so del dokumentov kakovosti pri delodajalcu, kar se izkaže s potrdilom neposredno nadrejenega,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spremljanje kazalnikov kakovosti ali izidov zdravljenja, ki so del dokumentov kakovosti pri delodajalcu, kar se izkaže s potrdilom neposredno nadrejenega.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Predlog za zasedbo delovnega mesta starejši zdravnik/zobozdravnik poda neposredni vodja in preveri izpolnjevanje pogojev za zasedbo delovnega mesta. Izpolnjevanje pogojev mora biti izkazano in dokumentirano. Odločitev o razporeditvi na delovno mesto starejši zdravnik/zobozdravnik poda strokovni kolegij oziroma strokovni vodja v roku 30 dni od prejetega predloga. O razporeditvi na delovno mesto se ponudi nova pogodba o zaposlitvi. Dopustna je revizija postopka preverjanja izpolnjevanja pogojev za zasedbo delovnega mesta, ki jo lahko zahteva zaposleni ali neposredni vodja. V primeru revizijskega postopka dokončno odločitev glede izpolnjevanja pogojev za zasedbo delovnega mesta sprejme strokovni kolegij oziroma strokovni vodja.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(kriteriji za razvrščanje na delovno mesto starejši zdravnik specialist)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 delovno mesto starejši zdravnik specialist se razporedi višji zdravnik specialist, ki izpolnjuje naslednje pogoje: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najmanj 20 let delovnih izkušenj po opravljenem strokovnem izpitu,</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izpolnjevanje pogojev za glavnega mentorja,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prenos znanja na druge zdravnike/zobozdravnike in druge zdravstvene delavce,</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sodelovanje, oblikovanje ali uvajanje novih kliničnih poti, strokovnih smernic, protokola, če so del dokumentov kakovosti pri delodajalcu, kar se izkaže s potrdilom neposredno nadrejenega,</w:t>
      </w:r>
    </w:p>
    <w:p>
      <w:pPr>
        <w:pStyle w:val="alineazaodstavkom"/>
        <w:spacing w:before="210" w:after="210"/>
        <w:ind w:left="425" w:right="0"/>
        <w:rPr>
          <w:rFonts w:ascii="Arial" w:eastAsia="Arial" w:hAnsi="Arial" w:cs="Arial"/>
          <w:sz w:val="21"/>
          <w:szCs w:val="21"/>
        </w:rPr>
      </w:pPr>
      <w:r>
        <w:rPr>
          <w:rFonts w:ascii="Arial" w:eastAsia="Arial" w:hAnsi="Arial" w:cs="Arial"/>
          <w:sz w:val="21"/>
          <w:szCs w:val="21"/>
        </w:rPr>
        <w:t>– spremljanje kazalnikov kakovosti ali izidov zdravljenja, ki so del dokumentov kakovosti pri delodajalcu, kar se izkaže s potrdilom neposredno nadrejenega.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Predlog za zasedbo delovnega mesta starejši zdravnik specialist poda neposredni vodja in preveri izpolnjevanje pogojev za zasedbo delovnega mesta. Izpolnjevanje pogojev mora biti izkazano in dokumentirano. Odločitev o razporeditvi na delovno mesto starejši zdravnik/zobozdravnik poda strokovni kolegij oziroma strokovni vodja v roku 30 dni od prejetega predloga. O razporeditvi na delovno mesto se ponudi nova pogodba o zaposlitvi. Dopustna je revizija postopka preverjanja izpolnjevanja pogojev za zasedbo delovnega mesta, ki jo lahko zahteva zaposleni ali neposredni vodja. V primeru revizijskega postopka dokončno odločitev glede izpolnjevanja pogojev za zasedbo delovnega mesta sprejme strokovni kolegij oziroma strokovni vodja.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(odmera letnega dopusta po kriteriju starosti)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Besedilo 6. točke 36. člena Kolektivne pogodbe za zdravnike in zobozdravnike v Republiki Sloveniji (Uradni list RS, št. 14/94, 15/94, 18/94 – ZRPJZ, 23/96 – popr., 22/96, 46/98 – popr., 39/98, 39/99 – ZMPUPR, 97/00, 43/06 – ZKolP, 60/08, 5/12, 40/12, 46/13, 16/17, 80/18, 160/20, 88/21 in 136/22 se spremeni tako, da se glasi: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Zdravniku, ki dopolni 55 let starosti, se letni dopust poveča za 5 dni.«.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PREHODNA IN KONČNA DOLOČBA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(prehodna določba glede letnega dopusta)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 glede na določbo prejšnjega člena tega aneksa se za odmero pet dni letnega dopusta po kriteriju starosti upošteva dopolnjena starost javnega uslužbenca kot sledi:</w:t>
      </w:r>
    </w:p>
    <w:tbl>
      <w:tblPr>
        <w:tblW w:w="5000" w:type="pct"/>
        <w:tblCellSpacing w:w="15" w:type="dxa"/>
        <w:tblInd w:w="25" w:type="dxa"/>
        <w:tblCellMar>
          <w:top w:w="15" w:type="dxa"/>
          <w:left w:w="15" w:type="dxa"/>
          <w:bottom w:w="15" w:type="dxa"/>
          <w:right w:w="15" w:type="dxa"/>
        </w:tblCellMar>
      </w:tblPr>
      <w:tblGrid>
        <w:gridCol w:w="1514"/>
        <w:gridCol w:w="1283"/>
        <w:gridCol w:w="1283"/>
        <w:gridCol w:w="1283"/>
        <w:gridCol w:w="1283"/>
        <w:gridCol w:w="1283"/>
        <w:gridCol w:w="1283"/>
      </w:tblGrid>
      <w:tr>
        <w:tblPrEx>
          <w:tblW w:w="5000" w:type="pct"/>
          <w:tblCellSpacing w:w="15" w:type="dxa"/>
          <w:tblInd w:w="25" w:type="dxa"/>
          <w:tblCellMar>
            <w:top w:w="15" w:type="dxa"/>
            <w:left w:w="15" w:type="dxa"/>
            <w:bottom w:w="15" w:type="dxa"/>
            <w:right w:w="15" w:type="dxa"/>
          </w:tblCellMar>
        </w:tblPrEx>
        <w:trPr>
          <w:tblCellSpacing w:w="15" w:type="dxa"/>
        </w:trPr>
        <w:tc>
          <w:tcPr>
            <w:tcW w:w="82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Leto </w:t>
            </w:r>
          </w:p>
        </w:tc>
        <w:tc>
          <w:tcPr>
            <w:tcW w:w="69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2025 </w:t>
            </w:r>
          </w:p>
        </w:tc>
        <w:tc>
          <w:tcPr>
            <w:tcW w:w="69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2026 </w:t>
            </w:r>
          </w:p>
        </w:tc>
        <w:tc>
          <w:tcPr>
            <w:tcW w:w="69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2027 </w:t>
            </w:r>
          </w:p>
        </w:tc>
        <w:tc>
          <w:tcPr>
            <w:tcW w:w="69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2028 </w:t>
            </w:r>
          </w:p>
        </w:tc>
        <w:tc>
          <w:tcPr>
            <w:tcW w:w="69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2029 </w:t>
            </w:r>
          </w:p>
        </w:tc>
        <w:tc>
          <w:tcPr>
            <w:tcW w:w="69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2030 </w:t>
            </w:r>
          </w:p>
        </w:tc>
      </w:tr>
      <w:tr>
        <w:tblPrEx>
          <w:tblW w:w="5000" w:type="pct"/>
          <w:tblCellSpacing w:w="15" w:type="dxa"/>
          <w:tblInd w:w="25" w:type="dxa"/>
          <w:tblCellMar>
            <w:top w:w="15" w:type="dxa"/>
            <w:left w:w="15" w:type="dxa"/>
            <w:bottom w:w="15" w:type="dxa"/>
            <w:right w:w="15" w:type="dxa"/>
          </w:tblCellMar>
        </w:tblPrEx>
        <w:trPr>
          <w:tblCellSpacing w:w="15" w:type="dxa"/>
        </w:trPr>
        <w:tc>
          <w:tcPr>
            <w:tcW w:w="820"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Starost </w:t>
            </w:r>
          </w:p>
        </w:tc>
        <w:tc>
          <w:tcPr>
            <w:tcW w:w="69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51 let </w:t>
            </w:r>
          </w:p>
        </w:tc>
        <w:tc>
          <w:tcPr>
            <w:tcW w:w="69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51 let </w:t>
            </w:r>
          </w:p>
        </w:tc>
        <w:tc>
          <w:tcPr>
            <w:tcW w:w="69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52 let </w:t>
            </w:r>
          </w:p>
        </w:tc>
        <w:tc>
          <w:tcPr>
            <w:tcW w:w="69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52 let </w:t>
            </w:r>
          </w:p>
        </w:tc>
        <w:tc>
          <w:tcPr>
            <w:tcW w:w="69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53 let </w:t>
            </w:r>
          </w:p>
        </w:tc>
        <w:tc>
          <w:tcPr>
            <w:tcW w:w="695" w:type="pct"/>
            <w:tcBorders>
              <w:top w:val="single" w:sz="4" w:space="0" w:color="000000"/>
              <w:left w:val="single" w:sz="4" w:space="0" w:color="000000"/>
              <w:bottom w:val="single" w:sz="4" w:space="0" w:color="000000"/>
              <w:right w:val="single" w:sz="4" w:space="0" w:color="000000"/>
            </w:tcBorders>
            <w:noWrap w:val="0"/>
            <w:tcMar>
              <w:top w:w="20" w:type="dxa"/>
              <w:left w:w="20" w:type="dxa"/>
              <w:bottom w:w="20" w:type="dxa"/>
              <w:right w:w="20" w:type="dxa"/>
            </w:tcMar>
            <w:vAlign w:val="top"/>
            <w:hideMark/>
          </w:tcPr>
          <w:p>
            <w:pP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54 let </w:t>
            </w:r>
          </w:p>
        </w:tc>
      </w:tr>
    </w:tbl>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(začetek veljavnosti)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aneks začne veljati 1. januarja 2025.</w:t>
      </w:r>
    </w:p>
    <w:p>
      <w:pPr>
        <w:pStyle w:val="evidencnastevilka"/>
        <w:spacing w:before="480" w:after="210"/>
        <w:ind w:left="0" w:right="0"/>
        <w:rPr>
          <w:rFonts w:ascii="Arial" w:eastAsia="Arial" w:hAnsi="Arial" w:cs="Arial"/>
          <w:sz w:val="21"/>
          <w:szCs w:val="21"/>
        </w:rPr>
      </w:pPr>
      <w:r>
        <w:rPr>
          <w:rFonts w:ascii="Arial" w:eastAsia="Arial" w:hAnsi="Arial" w:cs="Arial"/>
          <w:sz w:val="21"/>
          <w:szCs w:val="21"/>
        </w:rPr>
        <w:t>Št. 0070-102/2024</w:t>
      </w:r>
    </w:p>
    <w:p>
      <w:pPr>
        <w:pStyle w:val="krajdatumsprejetja"/>
        <w:spacing w:before="480" w:after="210"/>
        <w:ind w:left="0" w:right="0"/>
        <w:rPr>
          <w:rFonts w:ascii="Arial" w:eastAsia="Arial" w:hAnsi="Arial" w:cs="Arial"/>
          <w:sz w:val="21"/>
          <w:szCs w:val="21"/>
        </w:rPr>
      </w:pPr>
      <w:r>
        <w:rPr>
          <w:rFonts w:ascii="Arial" w:eastAsia="Arial" w:hAnsi="Arial" w:cs="Arial"/>
          <w:sz w:val="21"/>
          <w:szCs w:val="21"/>
        </w:rPr>
        <w:t>Ljubljana, dne 15. novembra 2024</w:t>
      </w:r>
    </w:p>
    <w:p>
      <w:pPr>
        <w:pStyle w:val="evidencnastevilka"/>
        <w:spacing w:before="480" w:after="210"/>
        <w:ind w:left="0" w:right="0"/>
        <w:rPr>
          <w:rFonts w:ascii="Arial" w:eastAsia="Arial" w:hAnsi="Arial" w:cs="Arial"/>
          <w:sz w:val="21"/>
          <w:szCs w:val="21"/>
        </w:rPr>
      </w:pPr>
      <w:r>
        <w:rPr>
          <w:rFonts w:ascii="Arial" w:eastAsia="Arial" w:hAnsi="Arial" w:cs="Arial"/>
          <w:sz w:val="21"/>
          <w:szCs w:val="21"/>
        </w:rPr>
        <w:t>EVA 2024-2711-0084</w:t>
      </w:r>
    </w:p>
    <w:tbl>
      <w:tblPr>
        <w:tblW w:w="5000" w:type="pct"/>
        <w:tblCellSpacing w:w="15" w:type="dxa"/>
        <w:tblInd w:w="15" w:type="dxa"/>
        <w:tblCellMar>
          <w:top w:w="15" w:type="dxa"/>
          <w:left w:w="15" w:type="dxa"/>
          <w:bottom w:w="15" w:type="dxa"/>
          <w:right w:w="15" w:type="dxa"/>
        </w:tblCellMar>
      </w:tblPr>
      <w:tblGrid>
        <w:gridCol w:w="4538"/>
        <w:gridCol w:w="4762"/>
      </w:tblGrid>
      <w:tr>
        <w:tblPrEx>
          <w:tblW w:w="5000" w:type="pct"/>
          <w:tblCellSpacing w:w="15" w:type="dxa"/>
          <w:tblInd w:w="15" w:type="dxa"/>
          <w:tblCellMar>
            <w:top w:w="15" w:type="dxa"/>
            <w:left w:w="15" w:type="dxa"/>
            <w:bottom w:w="15" w:type="dxa"/>
            <w:right w:w="15" w:type="dxa"/>
          </w:tblCellMar>
        </w:tblPrEx>
        <w:trPr>
          <w:tblCellSpacing w:w="15" w:type="dxa"/>
        </w:trPr>
        <w:tc>
          <w:tcPr>
            <w:tcW w:w="2440" w:type="pct"/>
            <w:noWrap w:val="0"/>
            <w:tcMar>
              <w:top w:w="15" w:type="dxa"/>
              <w:left w:w="15" w:type="dxa"/>
              <w:bottom w:w="15" w:type="dxa"/>
              <w:right w:w="15" w:type="dxa"/>
            </w:tcMar>
            <w:vAlign w:val="top"/>
            <w:hideMark/>
          </w:tcPr>
          <w:p>
            <w:pPr>
              <w:jc w:val="center"/>
              <w:rPr>
                <w:rFonts w:ascii="Arial" w:eastAsia="Arial" w:hAnsi="Arial" w:cs="Arial"/>
                <w:b w:val="0"/>
                <w:bCs w:val="0"/>
                <w:i w:val="0"/>
                <w:iCs w:val="0"/>
                <w:smallCaps w:val="0"/>
                <w:color w:val="000000"/>
              </w:rPr>
            </w:pPr>
            <w:r>
              <w:rPr>
                <w:rFonts w:ascii="Arial" w:eastAsia="Arial" w:hAnsi="Arial" w:cs="Arial"/>
                <w:b/>
                <w:bCs/>
                <w:i w:val="0"/>
                <w:iCs w:val="0"/>
                <w:smallCaps w:val="0"/>
                <w:color w:val="000000"/>
              </w:rPr>
              <w:t>Vlada Republike Slovenije</w:t>
            </w:r>
          </w:p>
        </w:tc>
        <w:tc>
          <w:tcPr>
            <w:tcW w:w="2560" w:type="pct"/>
            <w:noWrap w:val="0"/>
            <w:tcMar>
              <w:top w:w="15" w:type="dxa"/>
              <w:left w:w="15" w:type="dxa"/>
              <w:bottom w:w="15" w:type="dxa"/>
              <w:right w:w="15" w:type="dxa"/>
            </w:tcMar>
            <w:vAlign w:val="top"/>
            <w:hideMark/>
          </w:tcPr>
          <w:p>
            <w:pPr>
              <w:jc w:val="center"/>
              <w:rPr>
                <w:rFonts w:ascii="Arial" w:eastAsia="Arial" w:hAnsi="Arial" w:cs="Arial"/>
                <w:b/>
                <w:bCs/>
                <w:i w:val="0"/>
                <w:iCs w:val="0"/>
                <w:smallCaps w:val="0"/>
                <w:color w:val="000000"/>
              </w:rPr>
            </w:pPr>
            <w:r>
              <w:rPr>
                <w:rFonts w:ascii="Arial" w:eastAsia="Arial" w:hAnsi="Arial" w:cs="Arial"/>
                <w:b/>
                <w:bCs/>
                <w:i w:val="0"/>
                <w:iCs w:val="0"/>
                <w:smallCaps w:val="0"/>
                <w:color w:val="000000"/>
              </w:rPr>
              <w:t xml:space="preserve">Reprezentativni sindikati javnega sektorja </w:t>
            </w:r>
          </w:p>
        </w:tc>
      </w:tr>
      <w:tr>
        <w:tblPrEx>
          <w:tblW w:w="5000" w:type="pct"/>
          <w:tblCellSpacing w:w="15" w:type="dxa"/>
          <w:tblInd w:w="15" w:type="dxa"/>
          <w:tblCellMar>
            <w:top w:w="15" w:type="dxa"/>
            <w:left w:w="15" w:type="dxa"/>
            <w:bottom w:w="15" w:type="dxa"/>
            <w:right w:w="15" w:type="dxa"/>
          </w:tblCellMar>
        </w:tblPrEx>
        <w:trPr>
          <w:tblCellSpacing w:w="15" w:type="dxa"/>
        </w:trPr>
        <w:tc>
          <w:tcPr>
            <w:tcW w:w="2440" w:type="pct"/>
            <w:noWrap w:val="0"/>
            <w:tcMar>
              <w:top w:w="15" w:type="dxa"/>
              <w:left w:w="15" w:type="dxa"/>
              <w:bottom w:w="15" w:type="dxa"/>
              <w:right w:w="15" w:type="dxa"/>
            </w:tcMar>
            <w:vAlign w:val="top"/>
            <w:hideMark/>
          </w:tcPr>
          <w:p>
            <w:pPr>
              <w:rPr>
                <w:rFonts w:ascii="Arial" w:eastAsia="Arial" w:hAnsi="Arial" w:cs="Arial"/>
                <w:b w:val="0"/>
                <w:bCs w:val="0"/>
                <w:i w:val="0"/>
                <w:iCs w:val="0"/>
                <w:smallCaps w:val="0"/>
                <w:color w:val="000000"/>
              </w:rPr>
            </w:pPr>
          </w:p>
        </w:tc>
        <w:tc>
          <w:tcPr>
            <w:tcW w:w="2560" w:type="pct"/>
            <w:noWrap w:val="0"/>
            <w:tcMar>
              <w:top w:w="15" w:type="dxa"/>
              <w:left w:w="15" w:type="dxa"/>
              <w:bottom w:w="15" w:type="dxa"/>
              <w:right w:w="15" w:type="dxa"/>
            </w:tcMar>
            <w:vAlign w:val="top"/>
            <w:hideMark/>
          </w:tcPr>
          <w:p>
            <w:pPr>
              <w:rPr>
                <w:rFonts w:ascii="Arial" w:eastAsia="Arial" w:hAnsi="Arial" w:cs="Arial"/>
                <w:b w:val="0"/>
                <w:bCs w:val="0"/>
                <w:i w:val="0"/>
                <w:iCs w:val="0"/>
                <w:smallCaps w:val="0"/>
                <w:color w:val="000000"/>
              </w:rPr>
            </w:pPr>
          </w:p>
        </w:tc>
      </w:tr>
      <w:tr>
        <w:tblPrEx>
          <w:tblW w:w="5000" w:type="pct"/>
          <w:tblCellSpacing w:w="15" w:type="dxa"/>
          <w:tblInd w:w="15" w:type="dxa"/>
          <w:tblCellMar>
            <w:top w:w="15" w:type="dxa"/>
            <w:left w:w="15" w:type="dxa"/>
            <w:bottom w:w="15" w:type="dxa"/>
            <w:right w:w="15" w:type="dxa"/>
          </w:tblCellMar>
        </w:tblPrEx>
        <w:trPr>
          <w:tblCellSpacing w:w="15" w:type="dxa"/>
        </w:trPr>
        <w:tc>
          <w:tcPr>
            <w:tcW w:w="2440" w:type="pct"/>
            <w:noWrap w:val="0"/>
            <w:tcMar>
              <w:top w:w="15" w:type="dxa"/>
              <w:left w:w="15" w:type="dxa"/>
              <w:bottom w:w="15" w:type="dxa"/>
              <w:right w:w="15" w:type="dxa"/>
            </w:tcMar>
            <w:vAlign w:val="top"/>
            <w:hideMark/>
          </w:tcPr>
          <w:p>
            <w:pPr>
              <w:jc w:val="center"/>
              <w:rPr>
                <w:rFonts w:ascii="Arial" w:eastAsia="Arial" w:hAnsi="Arial" w:cs="Arial"/>
                <w:b/>
                <w:bCs/>
                <w:i w:val="0"/>
                <w:iCs w:val="0"/>
                <w:smallCaps w:val="0"/>
                <w:color w:val="000000"/>
              </w:rPr>
            </w:pPr>
            <w:r>
              <w:rPr>
                <w:rFonts w:ascii="Arial" w:eastAsia="Arial" w:hAnsi="Arial" w:cs="Arial"/>
                <w:b/>
                <w:bCs/>
                <w:i w:val="0"/>
                <w:iCs w:val="0"/>
                <w:smallCaps w:val="0"/>
                <w:color w:val="000000"/>
              </w:rPr>
              <w:t xml:space="preserve">mag. Franc Props  </w:t>
            </w:r>
          </w:p>
          <w:p>
            <w:pPr>
              <w:jc w:val="cente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minister  </w:t>
            </w:r>
          </w:p>
          <w:p>
            <w:pPr>
              <w:jc w:val="cente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za javno upravo  </w:t>
            </w:r>
          </w:p>
        </w:tc>
        <w:tc>
          <w:tcPr>
            <w:tcW w:w="2560" w:type="pct"/>
            <w:noWrap w:val="0"/>
            <w:tcMar>
              <w:top w:w="15" w:type="dxa"/>
              <w:left w:w="15" w:type="dxa"/>
              <w:bottom w:w="15" w:type="dxa"/>
              <w:right w:w="15" w:type="dxa"/>
            </w:tcMar>
            <w:vAlign w:val="top"/>
            <w:hideMark/>
          </w:tcPr>
          <w:p>
            <w:pPr>
              <w:jc w:val="cente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FIDES, Sindikat zdravnikov in zobozdravnikov Slovenije  </w:t>
            </w:r>
          </w:p>
          <w:p>
            <w:pPr>
              <w:jc w:val="center"/>
              <w:rPr>
                <w:rFonts w:ascii="Arial" w:eastAsia="Arial" w:hAnsi="Arial" w:cs="Arial"/>
                <w:b/>
                <w:bCs/>
                <w:i w:val="0"/>
                <w:iCs w:val="0"/>
                <w:smallCaps w:val="0"/>
                <w:color w:val="000000"/>
              </w:rPr>
            </w:pPr>
            <w:r>
              <w:rPr>
                <w:rFonts w:ascii="Arial" w:eastAsia="Arial" w:hAnsi="Arial" w:cs="Arial"/>
                <w:b/>
                <w:bCs/>
                <w:i w:val="0"/>
                <w:iCs w:val="0"/>
                <w:smallCaps w:val="0"/>
                <w:color w:val="000000"/>
              </w:rPr>
              <w:t xml:space="preserve">Damjan Polh </w:t>
            </w:r>
          </w:p>
        </w:tc>
      </w:tr>
      <w:tr>
        <w:tblPrEx>
          <w:tblW w:w="5000" w:type="pct"/>
          <w:tblCellSpacing w:w="15" w:type="dxa"/>
          <w:tblInd w:w="15" w:type="dxa"/>
          <w:tblCellMar>
            <w:top w:w="15" w:type="dxa"/>
            <w:left w:w="15" w:type="dxa"/>
            <w:bottom w:w="15" w:type="dxa"/>
            <w:right w:w="15" w:type="dxa"/>
          </w:tblCellMar>
        </w:tblPrEx>
        <w:trPr>
          <w:tblCellSpacing w:w="15" w:type="dxa"/>
        </w:trPr>
        <w:tc>
          <w:tcPr>
            <w:tcW w:w="2440" w:type="pct"/>
            <w:noWrap w:val="0"/>
            <w:tcMar>
              <w:top w:w="15" w:type="dxa"/>
              <w:left w:w="15" w:type="dxa"/>
              <w:bottom w:w="15" w:type="dxa"/>
              <w:right w:w="15" w:type="dxa"/>
            </w:tcMar>
            <w:vAlign w:val="top"/>
            <w:hideMark/>
          </w:tcPr>
          <w:p>
            <w:pPr>
              <w:rPr>
                <w:rFonts w:ascii="Arial" w:eastAsia="Arial" w:hAnsi="Arial" w:cs="Arial"/>
                <w:b w:val="0"/>
                <w:bCs w:val="0"/>
                <w:i w:val="0"/>
                <w:iCs w:val="0"/>
                <w:smallCaps w:val="0"/>
                <w:color w:val="000000"/>
              </w:rPr>
            </w:pPr>
          </w:p>
        </w:tc>
        <w:tc>
          <w:tcPr>
            <w:tcW w:w="2560" w:type="pct"/>
            <w:noWrap w:val="0"/>
            <w:tcMar>
              <w:top w:w="15" w:type="dxa"/>
              <w:left w:w="15" w:type="dxa"/>
              <w:bottom w:w="15" w:type="dxa"/>
              <w:right w:w="15" w:type="dxa"/>
            </w:tcMar>
            <w:vAlign w:val="top"/>
            <w:hideMark/>
          </w:tcPr>
          <w:p>
            <w:pPr>
              <w:rPr>
                <w:rFonts w:ascii="Arial" w:eastAsia="Arial" w:hAnsi="Arial" w:cs="Arial"/>
                <w:b w:val="0"/>
                <w:bCs w:val="0"/>
                <w:i w:val="0"/>
                <w:iCs w:val="0"/>
                <w:smallCaps w:val="0"/>
                <w:color w:val="000000"/>
              </w:rPr>
            </w:pPr>
          </w:p>
        </w:tc>
      </w:tr>
      <w:tr>
        <w:tblPrEx>
          <w:tblW w:w="5000" w:type="pct"/>
          <w:tblCellSpacing w:w="15" w:type="dxa"/>
          <w:tblInd w:w="15" w:type="dxa"/>
          <w:tblCellMar>
            <w:top w:w="15" w:type="dxa"/>
            <w:left w:w="15" w:type="dxa"/>
            <w:bottom w:w="15" w:type="dxa"/>
            <w:right w:w="15" w:type="dxa"/>
          </w:tblCellMar>
        </w:tblPrEx>
        <w:trPr>
          <w:tblCellSpacing w:w="15" w:type="dxa"/>
        </w:trPr>
        <w:tc>
          <w:tcPr>
            <w:tcW w:w="2440" w:type="pct"/>
            <w:noWrap w:val="0"/>
            <w:tcMar>
              <w:top w:w="15" w:type="dxa"/>
              <w:left w:w="15" w:type="dxa"/>
              <w:bottom w:w="15" w:type="dxa"/>
              <w:right w:w="15" w:type="dxa"/>
            </w:tcMar>
            <w:vAlign w:val="top"/>
            <w:hideMark/>
          </w:tcPr>
          <w:p>
            <w:pPr>
              <w:jc w:val="center"/>
              <w:rPr>
                <w:rFonts w:ascii="Arial" w:eastAsia="Arial" w:hAnsi="Arial" w:cs="Arial"/>
                <w:b/>
                <w:bCs/>
                <w:i w:val="0"/>
                <w:iCs w:val="0"/>
                <w:smallCaps w:val="0"/>
                <w:color w:val="000000"/>
              </w:rPr>
            </w:pPr>
            <w:r>
              <w:rPr>
                <w:rFonts w:ascii="Arial" w:eastAsia="Arial" w:hAnsi="Arial" w:cs="Arial"/>
                <w:b/>
                <w:bCs/>
                <w:i w:val="0"/>
                <w:iCs w:val="0"/>
                <w:smallCaps w:val="0"/>
                <w:color w:val="000000"/>
              </w:rPr>
              <w:t xml:space="preserve">Klemen Boštjančič  </w:t>
            </w:r>
          </w:p>
          <w:p>
            <w:pPr>
              <w:jc w:val="cente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minister  </w:t>
            </w:r>
          </w:p>
          <w:p>
            <w:pPr>
              <w:jc w:val="cente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za finance </w:t>
            </w:r>
          </w:p>
        </w:tc>
        <w:tc>
          <w:tcPr>
            <w:tcW w:w="2560" w:type="pct"/>
            <w:noWrap w:val="0"/>
            <w:tcMar>
              <w:top w:w="15" w:type="dxa"/>
              <w:left w:w="15" w:type="dxa"/>
              <w:bottom w:w="15" w:type="dxa"/>
              <w:right w:w="15" w:type="dxa"/>
            </w:tcMar>
            <w:vAlign w:val="top"/>
            <w:hideMark/>
          </w:tcPr>
          <w:p>
            <w:pPr>
              <w:jc w:val="cente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DENS – Sindikat zobozdravnikov Slovenije  </w:t>
            </w:r>
          </w:p>
          <w:p>
            <w:pPr>
              <w:jc w:val="cente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Mirjana Petrovič  </w:t>
            </w:r>
          </w:p>
          <w:p>
            <w:pPr>
              <w:jc w:val="cente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NI PODPISALA </w:t>
            </w:r>
          </w:p>
        </w:tc>
      </w:tr>
      <w:tr>
        <w:tblPrEx>
          <w:tblW w:w="5000" w:type="pct"/>
          <w:tblCellSpacing w:w="15" w:type="dxa"/>
          <w:tblInd w:w="15" w:type="dxa"/>
          <w:tblCellMar>
            <w:top w:w="15" w:type="dxa"/>
            <w:left w:w="15" w:type="dxa"/>
            <w:bottom w:w="15" w:type="dxa"/>
            <w:right w:w="15" w:type="dxa"/>
          </w:tblCellMar>
        </w:tblPrEx>
        <w:trPr>
          <w:tblCellSpacing w:w="15" w:type="dxa"/>
        </w:trPr>
        <w:tc>
          <w:tcPr>
            <w:tcW w:w="2440" w:type="pct"/>
            <w:noWrap w:val="0"/>
            <w:tcMar>
              <w:top w:w="15" w:type="dxa"/>
              <w:left w:w="15" w:type="dxa"/>
              <w:bottom w:w="15" w:type="dxa"/>
              <w:right w:w="15" w:type="dxa"/>
            </w:tcMar>
            <w:vAlign w:val="top"/>
            <w:hideMark/>
          </w:tcPr>
          <w:p>
            <w:pPr>
              <w:rPr>
                <w:rFonts w:ascii="Arial" w:eastAsia="Arial" w:hAnsi="Arial" w:cs="Arial"/>
                <w:b w:val="0"/>
                <w:bCs w:val="0"/>
                <w:i w:val="0"/>
                <w:iCs w:val="0"/>
                <w:smallCaps w:val="0"/>
                <w:color w:val="000000"/>
              </w:rPr>
            </w:pPr>
          </w:p>
        </w:tc>
        <w:tc>
          <w:tcPr>
            <w:tcW w:w="2560" w:type="pct"/>
            <w:noWrap w:val="0"/>
            <w:tcMar>
              <w:top w:w="15" w:type="dxa"/>
              <w:left w:w="15" w:type="dxa"/>
              <w:bottom w:w="15" w:type="dxa"/>
              <w:right w:w="15" w:type="dxa"/>
            </w:tcMar>
            <w:vAlign w:val="top"/>
            <w:hideMark/>
          </w:tcPr>
          <w:p>
            <w:pPr>
              <w:rPr>
                <w:rFonts w:ascii="Arial" w:eastAsia="Arial" w:hAnsi="Arial" w:cs="Arial"/>
                <w:b w:val="0"/>
                <w:bCs w:val="0"/>
                <w:i w:val="0"/>
                <w:iCs w:val="0"/>
                <w:smallCaps w:val="0"/>
                <w:color w:val="000000"/>
              </w:rPr>
            </w:pPr>
          </w:p>
        </w:tc>
      </w:tr>
      <w:tr>
        <w:tblPrEx>
          <w:tblW w:w="5000" w:type="pct"/>
          <w:tblCellSpacing w:w="15" w:type="dxa"/>
          <w:tblInd w:w="15" w:type="dxa"/>
          <w:tblCellMar>
            <w:top w:w="15" w:type="dxa"/>
            <w:left w:w="15" w:type="dxa"/>
            <w:bottom w:w="15" w:type="dxa"/>
            <w:right w:w="15" w:type="dxa"/>
          </w:tblCellMar>
        </w:tblPrEx>
        <w:trPr>
          <w:tblCellSpacing w:w="15" w:type="dxa"/>
        </w:trPr>
        <w:tc>
          <w:tcPr>
            <w:tcW w:w="2440" w:type="pct"/>
            <w:noWrap w:val="0"/>
            <w:tcMar>
              <w:top w:w="15" w:type="dxa"/>
              <w:left w:w="15" w:type="dxa"/>
              <w:bottom w:w="15" w:type="dxa"/>
              <w:right w:w="15" w:type="dxa"/>
            </w:tcMar>
            <w:vAlign w:val="top"/>
            <w:hideMark/>
          </w:tcPr>
          <w:p>
            <w:pPr>
              <w:jc w:val="center"/>
              <w:rPr>
                <w:rFonts w:ascii="Arial" w:eastAsia="Arial" w:hAnsi="Arial" w:cs="Arial"/>
                <w:b/>
                <w:bCs/>
                <w:i w:val="0"/>
                <w:iCs w:val="0"/>
                <w:smallCaps w:val="0"/>
                <w:color w:val="000000"/>
              </w:rPr>
            </w:pPr>
            <w:r>
              <w:rPr>
                <w:rFonts w:ascii="Arial" w:eastAsia="Arial" w:hAnsi="Arial" w:cs="Arial"/>
                <w:b/>
                <w:bCs/>
                <w:i w:val="0"/>
                <w:iCs w:val="0"/>
                <w:smallCaps w:val="0"/>
                <w:color w:val="000000"/>
              </w:rPr>
              <w:t xml:space="preserve">dr. Valentina Prevolnik Rupel  </w:t>
            </w:r>
          </w:p>
          <w:p>
            <w:pPr>
              <w:jc w:val="cente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ministrica  </w:t>
            </w:r>
          </w:p>
          <w:p>
            <w:pPr>
              <w:jc w:val="cente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za zdravje </w:t>
            </w:r>
          </w:p>
        </w:tc>
        <w:tc>
          <w:tcPr>
            <w:tcW w:w="2560" w:type="pct"/>
            <w:noWrap w:val="0"/>
            <w:tcMar>
              <w:top w:w="15" w:type="dxa"/>
              <w:left w:w="15" w:type="dxa"/>
              <w:bottom w:w="15" w:type="dxa"/>
              <w:right w:w="15" w:type="dxa"/>
            </w:tcMar>
            <w:vAlign w:val="top"/>
            <w:hideMark/>
          </w:tcPr>
          <w:p>
            <w:pPr>
              <w:jc w:val="cente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Sindikat zdravnikov družinske medicine PRAKTIK.UM  </w:t>
            </w:r>
          </w:p>
          <w:p>
            <w:pPr>
              <w:jc w:val="cente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mag. Igor Muževič  </w:t>
            </w:r>
          </w:p>
          <w:p>
            <w:pPr>
              <w:jc w:val="cente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NI PODPISAL </w:t>
            </w:r>
          </w:p>
        </w:tc>
      </w:tr>
      <w:tr>
        <w:tblPrEx>
          <w:tblW w:w="5000" w:type="pct"/>
          <w:tblCellSpacing w:w="15" w:type="dxa"/>
          <w:tblInd w:w="15" w:type="dxa"/>
          <w:tblCellMar>
            <w:top w:w="15" w:type="dxa"/>
            <w:left w:w="15" w:type="dxa"/>
            <w:bottom w:w="15" w:type="dxa"/>
            <w:right w:w="15" w:type="dxa"/>
          </w:tblCellMar>
        </w:tblPrEx>
        <w:trPr>
          <w:tblCellSpacing w:w="15" w:type="dxa"/>
        </w:trPr>
        <w:tc>
          <w:tcPr>
            <w:tcW w:w="2440" w:type="pct"/>
            <w:noWrap w:val="0"/>
            <w:tcMar>
              <w:top w:w="15" w:type="dxa"/>
              <w:left w:w="15" w:type="dxa"/>
              <w:bottom w:w="15" w:type="dxa"/>
              <w:right w:w="15" w:type="dxa"/>
            </w:tcMar>
            <w:vAlign w:val="top"/>
            <w:hideMark/>
          </w:tcPr>
          <w:p>
            <w:pPr>
              <w:rPr>
                <w:rFonts w:ascii="Arial" w:eastAsia="Arial" w:hAnsi="Arial" w:cs="Arial"/>
                <w:b w:val="0"/>
                <w:bCs w:val="0"/>
                <w:i w:val="0"/>
                <w:iCs w:val="0"/>
                <w:smallCaps w:val="0"/>
                <w:color w:val="000000"/>
              </w:rPr>
            </w:pPr>
          </w:p>
        </w:tc>
        <w:tc>
          <w:tcPr>
            <w:tcW w:w="2560" w:type="pct"/>
            <w:noWrap w:val="0"/>
            <w:tcMar>
              <w:top w:w="15" w:type="dxa"/>
              <w:left w:w="15" w:type="dxa"/>
              <w:bottom w:w="15" w:type="dxa"/>
              <w:right w:w="15" w:type="dxa"/>
            </w:tcMar>
            <w:vAlign w:val="top"/>
            <w:hideMark/>
          </w:tcPr>
          <w:p>
            <w:pPr>
              <w:rPr>
                <w:rFonts w:ascii="Arial" w:eastAsia="Arial" w:hAnsi="Arial" w:cs="Arial"/>
                <w:b w:val="0"/>
                <w:bCs w:val="0"/>
                <w:i w:val="0"/>
                <w:iCs w:val="0"/>
                <w:smallCaps w:val="0"/>
                <w:color w:val="000000"/>
              </w:rPr>
            </w:pPr>
          </w:p>
        </w:tc>
      </w:tr>
      <w:tr>
        <w:tblPrEx>
          <w:tblW w:w="5000" w:type="pct"/>
          <w:tblCellSpacing w:w="15" w:type="dxa"/>
          <w:tblInd w:w="15" w:type="dxa"/>
          <w:tblCellMar>
            <w:top w:w="15" w:type="dxa"/>
            <w:left w:w="15" w:type="dxa"/>
            <w:bottom w:w="15" w:type="dxa"/>
            <w:right w:w="15" w:type="dxa"/>
          </w:tblCellMar>
        </w:tblPrEx>
        <w:trPr>
          <w:tblCellSpacing w:w="15" w:type="dxa"/>
        </w:trPr>
        <w:tc>
          <w:tcPr>
            <w:tcW w:w="2440" w:type="pct"/>
            <w:noWrap w:val="0"/>
            <w:tcMar>
              <w:top w:w="15" w:type="dxa"/>
              <w:left w:w="15" w:type="dxa"/>
              <w:bottom w:w="15" w:type="dxa"/>
              <w:right w:w="15" w:type="dxa"/>
            </w:tcMar>
            <w:vAlign w:val="top"/>
            <w:hideMark/>
          </w:tcPr>
          <w:p>
            <w:pPr>
              <w:jc w:val="cente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Zdravniška zbornica Slovenije  </w:t>
            </w:r>
          </w:p>
          <w:p>
            <w:pPr>
              <w:jc w:val="cente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prof. dr. Bojana Beović  </w:t>
            </w:r>
          </w:p>
          <w:p>
            <w:pPr>
              <w:jc w:val="cente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NI PODPISALA </w:t>
            </w:r>
          </w:p>
        </w:tc>
        <w:tc>
          <w:tcPr>
            <w:tcW w:w="2560" w:type="pct"/>
            <w:noWrap w:val="0"/>
            <w:tcMar>
              <w:top w:w="15" w:type="dxa"/>
              <w:left w:w="15" w:type="dxa"/>
              <w:bottom w:w="15" w:type="dxa"/>
              <w:right w:w="15" w:type="dxa"/>
            </w:tcMar>
            <w:vAlign w:val="top"/>
            <w:hideMark/>
          </w:tcPr>
          <w:p>
            <w:pPr>
              <w:jc w:val="cente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Sindikat zdravstva in socialnega varstva Slovenije  </w:t>
            </w:r>
          </w:p>
          <w:p>
            <w:pPr>
              <w:jc w:val="center"/>
              <w:rPr>
                <w:rFonts w:ascii="Arial" w:eastAsia="Arial" w:hAnsi="Arial" w:cs="Arial"/>
                <w:b/>
                <w:bCs/>
                <w:i w:val="0"/>
                <w:iCs w:val="0"/>
                <w:smallCaps w:val="0"/>
                <w:color w:val="000000"/>
              </w:rPr>
            </w:pPr>
            <w:r>
              <w:rPr>
                <w:rFonts w:ascii="Arial" w:eastAsia="Arial" w:hAnsi="Arial" w:cs="Arial"/>
                <w:b/>
                <w:bCs/>
                <w:i w:val="0"/>
                <w:iCs w:val="0"/>
                <w:smallCaps w:val="0"/>
                <w:color w:val="000000"/>
              </w:rPr>
              <w:t xml:space="preserve">Irena Ilešič Čujovič </w:t>
            </w:r>
          </w:p>
        </w:tc>
      </w:tr>
      <w:tr>
        <w:tblPrEx>
          <w:tblW w:w="5000" w:type="pct"/>
          <w:tblCellSpacing w:w="15" w:type="dxa"/>
          <w:tblInd w:w="15" w:type="dxa"/>
          <w:tblCellMar>
            <w:top w:w="15" w:type="dxa"/>
            <w:left w:w="15" w:type="dxa"/>
            <w:bottom w:w="15" w:type="dxa"/>
            <w:right w:w="15" w:type="dxa"/>
          </w:tblCellMar>
        </w:tblPrEx>
        <w:trPr>
          <w:tblCellSpacing w:w="15" w:type="dxa"/>
        </w:trPr>
        <w:tc>
          <w:tcPr>
            <w:tcW w:w="2440" w:type="pct"/>
            <w:noWrap w:val="0"/>
            <w:tcMar>
              <w:top w:w="15" w:type="dxa"/>
              <w:left w:w="15" w:type="dxa"/>
              <w:bottom w:w="15" w:type="dxa"/>
              <w:right w:w="15" w:type="dxa"/>
            </w:tcMar>
            <w:vAlign w:val="top"/>
            <w:hideMark/>
          </w:tcPr>
          <w:p>
            <w:pPr>
              <w:rPr>
                <w:rFonts w:ascii="Arial" w:eastAsia="Arial" w:hAnsi="Arial" w:cs="Arial"/>
                <w:b w:val="0"/>
                <w:bCs w:val="0"/>
                <w:i w:val="0"/>
                <w:iCs w:val="0"/>
                <w:smallCaps w:val="0"/>
                <w:color w:val="000000"/>
              </w:rPr>
            </w:pPr>
          </w:p>
        </w:tc>
        <w:tc>
          <w:tcPr>
            <w:tcW w:w="2560" w:type="pct"/>
            <w:noWrap w:val="0"/>
            <w:tcMar>
              <w:top w:w="15" w:type="dxa"/>
              <w:left w:w="15" w:type="dxa"/>
              <w:bottom w:w="15" w:type="dxa"/>
              <w:right w:w="15" w:type="dxa"/>
            </w:tcMar>
            <w:vAlign w:val="top"/>
            <w:hideMark/>
          </w:tcPr>
          <w:p>
            <w:pPr>
              <w:rPr>
                <w:rFonts w:ascii="Arial" w:eastAsia="Arial" w:hAnsi="Arial" w:cs="Arial"/>
                <w:b w:val="0"/>
                <w:bCs w:val="0"/>
                <w:i w:val="0"/>
                <w:iCs w:val="0"/>
                <w:smallCaps w:val="0"/>
                <w:color w:val="000000"/>
              </w:rPr>
            </w:pPr>
          </w:p>
        </w:tc>
      </w:tr>
      <w:tr>
        <w:tblPrEx>
          <w:tblW w:w="5000" w:type="pct"/>
          <w:tblCellSpacing w:w="15" w:type="dxa"/>
          <w:tblInd w:w="15" w:type="dxa"/>
          <w:tblCellMar>
            <w:top w:w="15" w:type="dxa"/>
            <w:left w:w="15" w:type="dxa"/>
            <w:bottom w:w="15" w:type="dxa"/>
            <w:right w:w="15" w:type="dxa"/>
          </w:tblCellMar>
        </w:tblPrEx>
        <w:trPr>
          <w:tblCellSpacing w:w="15" w:type="dxa"/>
        </w:trPr>
        <w:tc>
          <w:tcPr>
            <w:tcW w:w="2440" w:type="pct"/>
            <w:noWrap w:val="0"/>
            <w:tcMar>
              <w:top w:w="15" w:type="dxa"/>
              <w:left w:w="15" w:type="dxa"/>
              <w:bottom w:w="15" w:type="dxa"/>
              <w:right w:w="15" w:type="dxa"/>
            </w:tcMar>
            <w:vAlign w:val="top"/>
            <w:hideMark/>
          </w:tcPr>
          <w:p>
            <w:pPr>
              <w:rPr>
                <w:rFonts w:ascii="Arial" w:eastAsia="Arial" w:hAnsi="Arial" w:cs="Arial"/>
                <w:b w:val="0"/>
                <w:bCs w:val="0"/>
                <w:i w:val="0"/>
                <w:iCs w:val="0"/>
                <w:smallCaps w:val="0"/>
                <w:color w:val="000000"/>
              </w:rPr>
            </w:pPr>
          </w:p>
        </w:tc>
        <w:tc>
          <w:tcPr>
            <w:tcW w:w="2560" w:type="pct"/>
            <w:noWrap w:val="0"/>
            <w:tcMar>
              <w:top w:w="15" w:type="dxa"/>
              <w:left w:w="15" w:type="dxa"/>
              <w:bottom w:w="15" w:type="dxa"/>
              <w:right w:w="15" w:type="dxa"/>
            </w:tcMar>
            <w:vAlign w:val="top"/>
            <w:hideMark/>
          </w:tcPr>
          <w:p>
            <w:pPr>
              <w:jc w:val="cente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Sindikat zdravstva in socialnega skrbstva Slovenije  </w:t>
            </w:r>
          </w:p>
          <w:p>
            <w:pPr>
              <w:jc w:val="center"/>
              <w:rPr>
                <w:rFonts w:ascii="Arial" w:eastAsia="Arial" w:hAnsi="Arial" w:cs="Arial"/>
                <w:b/>
                <w:bCs/>
                <w:i w:val="0"/>
                <w:iCs w:val="0"/>
                <w:smallCaps w:val="0"/>
                <w:color w:val="000000"/>
              </w:rPr>
            </w:pPr>
            <w:r>
              <w:rPr>
                <w:rFonts w:ascii="Arial" w:eastAsia="Arial" w:hAnsi="Arial" w:cs="Arial"/>
                <w:b/>
                <w:bCs/>
                <w:i w:val="0"/>
                <w:iCs w:val="0"/>
                <w:smallCaps w:val="0"/>
                <w:color w:val="000000"/>
              </w:rPr>
              <w:t xml:space="preserve">Aleksander Jus </w:t>
            </w:r>
          </w:p>
        </w:tc>
      </w:tr>
      <w:tr>
        <w:tblPrEx>
          <w:tblW w:w="5000" w:type="pct"/>
          <w:tblCellSpacing w:w="15" w:type="dxa"/>
          <w:tblInd w:w="15" w:type="dxa"/>
          <w:tblCellMar>
            <w:top w:w="15" w:type="dxa"/>
            <w:left w:w="15" w:type="dxa"/>
            <w:bottom w:w="15" w:type="dxa"/>
            <w:right w:w="15" w:type="dxa"/>
          </w:tblCellMar>
        </w:tblPrEx>
        <w:trPr>
          <w:tblCellSpacing w:w="15" w:type="dxa"/>
        </w:trPr>
        <w:tc>
          <w:tcPr>
            <w:tcW w:w="2440" w:type="pct"/>
            <w:noWrap w:val="0"/>
            <w:tcMar>
              <w:top w:w="15" w:type="dxa"/>
              <w:left w:w="15" w:type="dxa"/>
              <w:bottom w:w="15" w:type="dxa"/>
              <w:right w:w="15" w:type="dxa"/>
            </w:tcMar>
            <w:vAlign w:val="top"/>
            <w:hideMark/>
          </w:tcPr>
          <w:p>
            <w:pPr>
              <w:rPr>
                <w:rFonts w:ascii="Arial" w:eastAsia="Arial" w:hAnsi="Arial" w:cs="Arial"/>
                <w:b w:val="0"/>
                <w:bCs w:val="0"/>
                <w:i w:val="0"/>
                <w:iCs w:val="0"/>
                <w:smallCaps w:val="0"/>
                <w:color w:val="000000"/>
              </w:rPr>
            </w:pPr>
          </w:p>
        </w:tc>
        <w:tc>
          <w:tcPr>
            <w:tcW w:w="2560" w:type="pct"/>
            <w:noWrap w:val="0"/>
            <w:tcMar>
              <w:top w:w="15" w:type="dxa"/>
              <w:left w:w="15" w:type="dxa"/>
              <w:bottom w:w="15" w:type="dxa"/>
              <w:right w:w="15" w:type="dxa"/>
            </w:tcMar>
            <w:vAlign w:val="top"/>
            <w:hideMark/>
          </w:tcPr>
          <w:p>
            <w:pPr>
              <w:rPr>
                <w:rFonts w:ascii="Arial" w:eastAsia="Arial" w:hAnsi="Arial" w:cs="Arial"/>
                <w:b w:val="0"/>
                <w:bCs w:val="0"/>
                <w:i w:val="0"/>
                <w:iCs w:val="0"/>
                <w:smallCaps w:val="0"/>
                <w:color w:val="000000"/>
              </w:rPr>
            </w:pPr>
          </w:p>
        </w:tc>
      </w:tr>
      <w:tr>
        <w:tblPrEx>
          <w:tblW w:w="5000" w:type="pct"/>
          <w:tblCellSpacing w:w="15" w:type="dxa"/>
          <w:tblInd w:w="15" w:type="dxa"/>
          <w:tblCellMar>
            <w:top w:w="15" w:type="dxa"/>
            <w:left w:w="15" w:type="dxa"/>
            <w:bottom w:w="15" w:type="dxa"/>
            <w:right w:w="15" w:type="dxa"/>
          </w:tblCellMar>
        </w:tblPrEx>
        <w:trPr>
          <w:tblCellSpacing w:w="15" w:type="dxa"/>
        </w:trPr>
        <w:tc>
          <w:tcPr>
            <w:tcW w:w="2440" w:type="pct"/>
            <w:noWrap w:val="0"/>
            <w:tcMar>
              <w:top w:w="15" w:type="dxa"/>
              <w:left w:w="15" w:type="dxa"/>
              <w:bottom w:w="15" w:type="dxa"/>
              <w:right w:w="15" w:type="dxa"/>
            </w:tcMar>
            <w:vAlign w:val="top"/>
            <w:hideMark/>
          </w:tcPr>
          <w:p>
            <w:pPr>
              <w:jc w:val="cente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  </w:t>
            </w:r>
          </w:p>
        </w:tc>
        <w:tc>
          <w:tcPr>
            <w:tcW w:w="2560" w:type="pct"/>
            <w:noWrap w:val="0"/>
            <w:tcMar>
              <w:top w:w="15" w:type="dxa"/>
              <w:left w:w="15" w:type="dxa"/>
              <w:bottom w:w="15" w:type="dxa"/>
              <w:right w:w="15" w:type="dxa"/>
            </w:tcMar>
            <w:vAlign w:val="top"/>
            <w:hideMark/>
          </w:tcPr>
          <w:p>
            <w:pPr>
              <w:jc w:val="center"/>
              <w:rPr>
                <w:rFonts w:ascii="Arial" w:eastAsia="Arial" w:hAnsi="Arial" w:cs="Arial"/>
                <w:b w:val="0"/>
                <w:bCs w:val="0"/>
                <w:i w:val="0"/>
                <w:iCs w:val="0"/>
                <w:smallCaps w:val="0"/>
                <w:color w:val="000000"/>
              </w:rPr>
            </w:pPr>
            <w:r>
              <w:rPr>
                <w:rFonts w:ascii="Arial" w:eastAsia="Arial" w:hAnsi="Arial" w:cs="Arial"/>
                <w:b w:val="0"/>
                <w:bCs w:val="0"/>
                <w:i w:val="0"/>
                <w:iCs w:val="0"/>
                <w:smallCaps w:val="0"/>
                <w:color w:val="000000"/>
              </w:rPr>
              <w:t xml:space="preserve">Sindikati v zdravstvu Slovenije – PERGAM  </w:t>
            </w:r>
          </w:p>
          <w:p>
            <w:pPr>
              <w:jc w:val="center"/>
              <w:rPr>
                <w:rFonts w:ascii="Arial" w:eastAsia="Arial" w:hAnsi="Arial" w:cs="Arial"/>
                <w:b/>
                <w:bCs/>
                <w:i w:val="0"/>
                <w:iCs w:val="0"/>
                <w:smallCaps w:val="0"/>
                <w:color w:val="000000"/>
              </w:rPr>
            </w:pPr>
            <w:r>
              <w:rPr>
                <w:rFonts w:ascii="Arial" w:eastAsia="Arial" w:hAnsi="Arial" w:cs="Arial"/>
                <w:b/>
                <w:bCs/>
                <w:i w:val="0"/>
                <w:iCs w:val="0"/>
                <w:smallCaps w:val="0"/>
                <w:color w:val="000000"/>
              </w:rPr>
              <w:t xml:space="preserve">Vladimir Lazić </w:t>
            </w:r>
          </w:p>
        </w:tc>
      </w:tr>
    </w:tbl>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Ministrstvo za delo, družino, socialne zadeve in enake možnosti je dne 20. 11. 2024 izdalo potrdilo št. 10101-13/2008-2611-44 o tem, da je Aneks k Posebnemu tarifnemu delu Kolektivne pogodbe za zdravnike in zobozdravnike v Republiki Sloveniji vpisan v evidenco kolektivnih pogodb na podlagi 25. člena Zakona o kolektivnih pogodbah (Uradni list RS, št. 43/06 in 45/08 – ZArbit) pod zaporedno številko 34/14.</w:t>
      </w:r>
    </w:p>
    <w:p>
      <w:pPr>
        <w:pStyle w:val="priloga"/>
        <w:spacing w:before="210" w:after="210"/>
        <w:ind w:left="0" w:right="0"/>
        <w:rPr>
          <w:rFonts w:ascii="Arial" w:eastAsia="Arial" w:hAnsi="Arial" w:cs="Arial"/>
          <w:sz w:val="21"/>
          <w:szCs w:val="21"/>
        </w:rPr>
      </w:pPr>
      <w:hyperlink r:id="rId4" w:history="1">
        <w:r>
          <w:rPr>
            <w:rFonts w:ascii="Arial" w:eastAsia="Arial" w:hAnsi="Arial" w:cs="Arial"/>
            <w:color w:val="0000EE"/>
            <w:sz w:val="21"/>
            <w:szCs w:val="21"/>
            <w:u w:val="single" w:color="0000EE"/>
          </w:rPr>
          <w:t>Priloga 1: Uvrstitve delovnih mest in nazivov plačne podskupine E1 v plačne razrede</w:t>
        </w:r>
      </w:hyperlink>
    </w:p>
    <w:p>
      <w:pPr>
        <w:pStyle w:val="priloga"/>
        <w:spacing w:before="210" w:after="210"/>
        <w:ind w:left="0" w:right="0"/>
        <w:rPr>
          <w:rFonts w:ascii="Arial" w:eastAsia="Arial" w:hAnsi="Arial" w:cs="Arial"/>
          <w:sz w:val="21"/>
          <w:szCs w:val="21"/>
        </w:rPr>
      </w:pPr>
      <w:hyperlink r:id="rId5" w:history="1">
        <w:r>
          <w:rPr>
            <w:rFonts w:ascii="Arial" w:eastAsia="Arial" w:hAnsi="Arial" w:cs="Arial"/>
            <w:color w:val="0000EE"/>
            <w:sz w:val="21"/>
            <w:szCs w:val="21"/>
            <w:u w:val="single" w:color="0000EE"/>
          </w:rPr>
          <w:t>Priloga 3: Prevedba novih delovnih mest in nazivov v plačni podskupini E1</w:t>
        </w:r>
      </w:hyperlink>
    </w:p>
    <w:p>
      <w:pPr>
        <w:pStyle w:val="priloga"/>
        <w:spacing w:before="210" w:after="210"/>
        <w:ind w:left="0" w:right="0"/>
        <w:rPr>
          <w:rFonts w:ascii="Arial" w:eastAsia="Arial" w:hAnsi="Arial" w:cs="Arial"/>
          <w:sz w:val="21"/>
          <w:szCs w:val="21"/>
        </w:rPr>
      </w:pPr>
      <w:hyperlink r:id="rId6" w:history="1">
        <w:r>
          <w:rPr>
            <w:rFonts w:ascii="Arial" w:eastAsia="Arial" w:hAnsi="Arial" w:cs="Arial"/>
            <w:color w:val="0000EE"/>
            <w:sz w:val="21"/>
            <w:szCs w:val="21"/>
            <w:u w:val="single" w:color="0000EE"/>
          </w:rPr>
          <w:t>Priloga 4: Premestitev javnih uslužbencev iz ukinjenih delovnih mest na novo delovno mesto v plačni podskupini E1</w:t>
        </w:r>
      </w:hyperlink>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zamik">
    <w:name w:val="zamik"/>
    <w:basedOn w:val="Normal"/>
    <w:pPr>
      <w:ind w:firstLine="1021"/>
    </w:pPr>
  </w:style>
  <w:style w:type="paragraph" w:customStyle="1" w:styleId="rocnivnos">
    <w:name w:val="rocni_vnos"/>
    <w:basedOn w:val="Normal"/>
  </w:style>
  <w:style w:type="paragraph" w:customStyle="1" w:styleId="center">
    <w:name w:val="center"/>
    <w:basedOn w:val="Normal"/>
    <w:pPr>
      <w:jc w:val="center"/>
    </w:pPr>
  </w:style>
  <w:style w:type="paragraph" w:customStyle="1" w:styleId="alineazaodstavkom">
    <w:name w:val="alinea_za_odstavkom"/>
    <w:basedOn w:val="Normal"/>
    <w:pPr>
      <w:ind w:hanging="425"/>
      <w:jc w:val="both"/>
    </w:pPr>
  </w:style>
  <w:style w:type="paragraph" w:customStyle="1" w:styleId="crkovnatockazaodstavkom">
    <w:name w:val="crkovna_tocka_za_odstavkom"/>
    <w:basedOn w:val="Normal"/>
    <w:pPr>
      <w:ind w:hanging="425"/>
      <w:jc w:val="both"/>
    </w:pPr>
  </w:style>
  <w:style w:type="paragraph" w:customStyle="1" w:styleId="p">
    <w:name w:val="p"/>
    <w:basedOn w:val="Normal"/>
    <w:rPr>
      <w:sz w:val="21"/>
      <w:szCs w:val="21"/>
    </w:rPr>
  </w:style>
  <w:style w:type="paragraph" w:customStyle="1" w:styleId="tabela">
    <w:name w:val="tabela"/>
    <w:basedOn w:val="Normal"/>
  </w:style>
  <w:style w:type="paragraph" w:customStyle="1" w:styleId="evidencnastevilka">
    <w:name w:val="evidencna_stevilka"/>
    <w:basedOn w:val="Normal"/>
    <w:pPr>
      <w:jc w:val="both"/>
    </w:pPr>
  </w:style>
  <w:style w:type="paragraph" w:customStyle="1" w:styleId="krajdatumsprejetja">
    <w:name w:val="kraj_datum_sprejetja"/>
    <w:basedOn w:val="Normal"/>
  </w:style>
  <w:style w:type="paragraph" w:customStyle="1" w:styleId="priloga">
    <w:name w:val="priloga"/>
    <w:basedOn w:val="Normal"/>
    <w:pPr>
      <w:pBdr>
        <w:top w:val="none" w:sz="0" w:space="24" w:color="auto"/>
        <w:bottom w:val="none" w:sz="0" w:space="3" w:color="auto"/>
      </w:pBdr>
      <w:spacing w:line="200" w:lineRule="atLeas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pisrs.si/api/datoteke/integracije/358245334" TargetMode="External" /><Relationship Id="rId5" Type="http://schemas.openxmlformats.org/officeDocument/2006/relationships/hyperlink" Target="https://pisrs.si/api/datoteke/integracije/358245337" TargetMode="External" /><Relationship Id="rId6" Type="http://schemas.openxmlformats.org/officeDocument/2006/relationships/hyperlink" Target="https://pisrs.si/api/datoteke/integracije/358245340"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TARI265 NPB0</dc:title>
  <cp:revision>1</cp:revision>
</cp:coreProperties>
</file>