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Uredbe o izvajanju lokalnega razvoja, ki ga vodi skupnost, v programskem obdobju 2014–2020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izvajanju lokalnega razvoja, ki ga vodi skupnost, v programskem obdobju 2014–2020 (Uradni list RS, št. 42/15 z dne 16. 6. 2015),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spremembah in dopolnitvah Uredbe o izvajanju lokalnega razvoja, ki ga vodi skupnost, v programskem obdobju 2014–2020 (Uradni list RS, št. 28/16 z dne 15. 4. 2016),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spremembah in dopolnitvah Uredbe o izvajanju lokalnega razvoja, ki ga vodi skupnost, v programskem obdobju 2014–2020 (Uradni list RS, št. 73/16 z dne 18. 11. 2016),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spremembah in dopolnitvah Uredbe o izvajanju lokalnega razvoja, ki ga vodi skupnost, v programskem obdobju 2014–2020 (Uradni list RS, št. 72/17 z dne 15. 12. 2017),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spremembah in dopolnitvah Uredbe o izvajanju lokalnega razvoja, ki ga vodi skupnost, v programskem obdobju 2014–2020 (Uradni list RS, št. 23/18 z dne 6. 4. 2018),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spremembah in dopolnitvah Uredbe o izvajanju lokalnega razvoja, ki ga vodi skupnost, v programskem obdobju 2014–2020 (Uradni list RS, št. 68/18 z dne 26. 10. 2018),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spremembah in dopolnitvah Uredbe o izvajanju lokalnega razvoja, ki ga vodi skupnost, v programskem obdobju 2014–2020 (Uradni list RS, št. 68/19 z dne 15. 11. 2019),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spremembah in dopolnitvah Uredbe o izvajanju lokalnega razvoja, ki ga vodi skupnost, v programskem obdobju 2014–2020 (Uradni list RS, št. 157/20 z dne 30. 10. 2020),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spremembah in dopolnitvah Uredbe o izvajanju lokalnega razvoja, ki ga vodi skupnost, v programskem obdobju 2014–2020 (Uradni list RS, št. 163/21 z dne 15. 10. 2021),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spremembi Uredbe o izvajanju lokalnega razvoja, ki ga vodi skupnost, v programskem obdobju 2014–2020 (Uradni list RS, št. 181/21 z dne 19. 11. 2021),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dopolnitvah Uredbe o izvajanju lokalnega razvoja, ki ga vodi skupnost, v programskem obdobju 2014–2020 (Uradni list RS, št. 92/23 z dne 25. 8. 2023),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spremembah in dopolnitvi Uredbe o izvajanju lokalnega razvoja, ki ga vodi skupnost, v programskem obdobju 2014–2020 (Uradni list RS, št. 2/25 z dne 10. 1. 2025).</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UREDBA</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izvajanju lokalnega razvoja, ki ga vodi skupnost, v programskem obdobju 2014–2020</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11)</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11.01.2025</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Ta uredba določa izvajanje lokalnega razvoja, ki ga vodi skupnost (v nadaljnjem besedilu: CLLD), v programskem obdobju 2014–2020 v skladu s Partnerskim sporazumom med Slovenijo in Evropsko komisijo za obdobje 2014–2020 (v nadaljnjem besedilu: PS 2014–2020), ki je dostopen na spletni strani </w:t>
      </w:r>
      <w:hyperlink r:id="rId4" w:tgtFrame="_blank" w:tooltip="to URL" w:history="1">
        <w:r>
          <w:rPr>
            <w:rFonts w:ascii="Arial" w:eastAsia="Arial" w:hAnsi="Arial" w:cs="Arial"/>
            <w:color w:val="0000EE"/>
            <w:sz w:val="21"/>
            <w:szCs w:val="21"/>
            <w:u w:val="single" w:color="0000EE"/>
          </w:rPr>
          <w:t>https://www.eu-skladi.si/sl/ekp/kljucni-dokumenti,</w:t>
        </w:r>
      </w:hyperlink>
      <w:r>
        <w:rPr>
          <w:rFonts w:ascii="Arial" w:eastAsia="Arial" w:hAnsi="Arial" w:cs="Arial"/>
          <w:sz w:val="21"/>
          <w:szCs w:val="21"/>
        </w:rPr>
        <w:t xml:space="preserve"> programom, ki ureja razvoj podeželja Republike Slovenije za obdobje 2014–2020, (v nadaljnjem besedilu: PRP 2014–2020), ki je dostopen na osrednjem spletnem mestu državne uprave ter na spletni strani programa razvoja podeželja ( </w:t>
      </w:r>
      <w:hyperlink r:id="rId5" w:tgtFrame="_blank" w:tooltip="to URL" w:history="1">
        <w:r>
          <w:rPr>
            <w:rFonts w:ascii="Arial" w:eastAsia="Arial" w:hAnsi="Arial" w:cs="Arial"/>
            <w:color w:val="0000EE"/>
            <w:sz w:val="21"/>
            <w:szCs w:val="21"/>
            <w:u w:val="single" w:color="0000EE"/>
          </w:rPr>
          <w:t>http://www.program-podezelja.si),</w:t>
        </w:r>
      </w:hyperlink>
      <w:r>
        <w:rPr>
          <w:rFonts w:ascii="Arial" w:eastAsia="Arial" w:hAnsi="Arial" w:cs="Arial"/>
          <w:sz w:val="21"/>
          <w:szCs w:val="21"/>
        </w:rPr>
        <w:t xml:space="preserve"> operativnim programom, ki ureja izvajanje evropske kohezijske politike v obdobju 2014–2020 (v nadaljnjem besedilu: OP EKP 2014–2020), ki je dostopen na spletni strani </w:t>
      </w:r>
      <w:hyperlink r:id="rId4" w:tgtFrame="_blank" w:tooltip="to URL" w:history="1">
        <w:r>
          <w:rPr>
            <w:rFonts w:ascii="Arial" w:eastAsia="Arial" w:hAnsi="Arial" w:cs="Arial"/>
            <w:color w:val="0000EE"/>
            <w:sz w:val="21"/>
            <w:szCs w:val="21"/>
            <w:u w:val="single" w:color="0000EE"/>
          </w:rPr>
          <w:t>https://www.eu-skladi.si/sl/ekp/kljucni-dokumenti,</w:t>
        </w:r>
      </w:hyperlink>
      <w:r>
        <w:rPr>
          <w:rFonts w:ascii="Arial" w:eastAsia="Arial" w:hAnsi="Arial" w:cs="Arial"/>
          <w:sz w:val="21"/>
          <w:szCs w:val="21"/>
        </w:rPr>
        <w:t xml:space="preserve"> in operativnim programom, ki ureja izvajanje Evropskega sklada za pomorstvo in ribištvo v Republiki Sloveniji za obdobje 2014–2020, (v nadaljnjem besedilu: OP ESPR 2014–2020), ki je dostopen na osrednjem spletnem mestu državne uprave ter na spletni strani ribiškega sklada ( </w:t>
      </w:r>
      <w:hyperlink r:id="rId6" w:tgtFrame="_blank" w:tooltip="to URL" w:history="1">
        <w:r>
          <w:rPr>
            <w:rFonts w:ascii="Arial" w:eastAsia="Arial" w:hAnsi="Arial" w:cs="Arial"/>
            <w:color w:val="0000EE"/>
            <w:sz w:val="21"/>
            <w:szCs w:val="21"/>
            <w:u w:val="single" w:color="0000EE"/>
          </w:rPr>
          <w:t>http://www.ribiski-sklad.si/),</w:t>
        </w:r>
      </w:hyperlink>
      <w:r>
        <w:rPr>
          <w:rFonts w:ascii="Arial" w:eastAsia="Arial" w:hAnsi="Arial" w:cs="Arial"/>
          <w:sz w:val="21"/>
          <w:szCs w:val="21"/>
        </w:rPr>
        <w:t xml:space="preserve"> ter določa vrste podukrepov CLLD, ki so predmet sofinanciranja iz Evropskega kmetijskega sklada za razvoj podeželja (v nadaljnjem besedilu: EKSRP), Evropskega sklada za pomorstvo in ribištvo (v nadaljnjem besedilu: ESPR) in Evropskega sklada za regionalni razvoj (v nadaljnjem besedilu: ESRR).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Ta uredba določa tudi pogoje za oblikovanje in postopke za izbor in potrditev lokalnih akcijskih skupin, vsebino in sestavo ter obvezna poglavja strategij lokalnega razvoja, merila in način za izbor strategij lokalnega razvoja, naloge lokalnih akcijskih skupin, upravičence, upravičene aktivnosti, pogoje upravičenosti, upravičene in neupravičene stroške, pogoje za izvajanje posameznih podukrepov, nadzor nad izvajanjem podukrepov, sankcije za neizpolnjevanje obveznosti, finančne določbe ter posebna pravila glede podpore posameznega sklada, vključenega v izvajanje CLLD, za izvajanje: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1.      </w:t>
      </w:r>
      <w:hyperlink r:id="rId7" w:tgtFrame="_blank" w:tooltip="to EUR-Lex" w:history="1">
        <w:r>
          <w:rPr>
            <w:rFonts w:ascii="Arial" w:eastAsia="Arial" w:hAnsi="Arial" w:cs="Arial"/>
            <w:color w:val="0000EE"/>
            <w:sz w:val="21"/>
            <w:szCs w:val="21"/>
            <w:u w:val="single" w:color="0000EE"/>
          </w:rPr>
          <w:t>Uredbe (EU) št. 1301/2013</w:t>
        </w:r>
      </w:hyperlink>
      <w:r>
        <w:rPr>
          <w:rFonts w:ascii="Arial" w:eastAsia="Arial" w:hAnsi="Arial" w:cs="Arial"/>
          <w:sz w:val="21"/>
          <w:szCs w:val="21"/>
        </w:rPr>
        <w:t xml:space="preserve"> Evropskega parlamenta in Sveta z dne 17. decembra 2013 o Evropskem skladu za regionalni razvoj in o posebnih določbah glede cilja »naložbe za rast in delovna mesta« ter o razveljavitvi </w:t>
      </w:r>
      <w:hyperlink r:id="rId8" w:tgtFrame="_blank" w:tooltip="to EUR-Lex" w:history="1">
        <w:r>
          <w:rPr>
            <w:rFonts w:ascii="Arial" w:eastAsia="Arial" w:hAnsi="Arial" w:cs="Arial"/>
            <w:color w:val="0000EE"/>
            <w:sz w:val="21"/>
            <w:szCs w:val="21"/>
            <w:u w:val="single" w:color="0000EE"/>
          </w:rPr>
          <w:t>Uredbe (ES) št. 1080/2006</w:t>
        </w:r>
      </w:hyperlink>
      <w:r>
        <w:rPr>
          <w:rFonts w:ascii="Arial" w:eastAsia="Arial" w:hAnsi="Arial" w:cs="Arial"/>
          <w:sz w:val="21"/>
          <w:szCs w:val="21"/>
        </w:rPr>
        <w:t xml:space="preserve"> (UL L št. 347 z dne 20. 12. 2013, str. 289), zadnjič spremenjene z </w:t>
      </w:r>
      <w:hyperlink r:id="rId9" w:tgtFrame="_blank" w:tooltip="to EUR-Lex" w:history="1">
        <w:r>
          <w:rPr>
            <w:rFonts w:ascii="Arial" w:eastAsia="Arial" w:hAnsi="Arial" w:cs="Arial"/>
            <w:color w:val="0000EE"/>
            <w:sz w:val="21"/>
            <w:szCs w:val="21"/>
            <w:u w:val="single" w:color="0000EE"/>
          </w:rPr>
          <w:t>Uredbo (EU) 2020/558</w:t>
        </w:r>
      </w:hyperlink>
      <w:r>
        <w:rPr>
          <w:rFonts w:ascii="Arial" w:eastAsia="Arial" w:hAnsi="Arial" w:cs="Arial"/>
          <w:sz w:val="21"/>
          <w:szCs w:val="21"/>
        </w:rPr>
        <w:t xml:space="preserve"> Evropskega parlamenta in Sveta z dne 23. aprila 2020 o spremembi </w:t>
      </w:r>
      <w:hyperlink r:id="rId7" w:tgtFrame="_blank" w:tooltip="to EUR-Lex" w:history="1">
        <w:r>
          <w:rPr>
            <w:rFonts w:ascii="Arial" w:eastAsia="Arial" w:hAnsi="Arial" w:cs="Arial"/>
            <w:color w:val="0000EE"/>
            <w:sz w:val="21"/>
            <w:szCs w:val="21"/>
            <w:u w:val="single" w:color="0000EE"/>
          </w:rPr>
          <w:t>uredb (EU) št. 1301/2013</w:t>
        </w:r>
      </w:hyperlink>
      <w:r>
        <w:rPr>
          <w:rFonts w:ascii="Arial" w:eastAsia="Arial" w:hAnsi="Arial" w:cs="Arial"/>
          <w:sz w:val="21"/>
          <w:szCs w:val="21"/>
        </w:rPr>
        <w:t xml:space="preserve"> in </w:t>
      </w:r>
      <w:hyperlink r:id="rId10" w:tgtFrame="_blank" w:tooltip="to EUR-Lex" w:history="1">
        <w:r>
          <w:rPr>
            <w:rFonts w:ascii="Arial" w:eastAsia="Arial" w:hAnsi="Arial" w:cs="Arial"/>
            <w:color w:val="0000EE"/>
            <w:sz w:val="21"/>
            <w:szCs w:val="21"/>
            <w:u w:val="single" w:color="0000EE"/>
          </w:rPr>
          <w:t>(EU) št. 1303/2013</w:t>
        </w:r>
      </w:hyperlink>
      <w:r>
        <w:rPr>
          <w:rFonts w:ascii="Arial" w:eastAsia="Arial" w:hAnsi="Arial" w:cs="Arial"/>
          <w:sz w:val="21"/>
          <w:szCs w:val="21"/>
        </w:rPr>
        <w:t xml:space="preserve"> glede posebnih ukrepov za zagotovitev izredne prožnosti pri uporabi evropskih strukturnih in investicijskih skladov v odziv na izbruh COVID-19 (UL L št. 130 z dne 24. 4. 2020, str. 1), (v nadaljnjem besedilu: </w:t>
      </w:r>
      <w:hyperlink r:id="rId7" w:tgtFrame="_blank" w:tooltip="to EUR-Lex" w:history="1">
        <w:r>
          <w:rPr>
            <w:rFonts w:ascii="Arial" w:eastAsia="Arial" w:hAnsi="Arial" w:cs="Arial"/>
            <w:color w:val="0000EE"/>
            <w:sz w:val="21"/>
            <w:szCs w:val="21"/>
            <w:u w:val="single" w:color="0000EE"/>
          </w:rPr>
          <w:t>Uredba 1301/2013/EU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w:t>
      </w:r>
      <w:hyperlink r:id="rId10" w:tgtFrame="_blank" w:tooltip="to EUR-Lex" w:history="1">
        <w:r>
          <w:rPr>
            <w:rFonts w:ascii="Arial" w:eastAsia="Arial" w:hAnsi="Arial" w:cs="Arial"/>
            <w:color w:val="0000EE"/>
            <w:sz w:val="21"/>
            <w:szCs w:val="21"/>
            <w:u w:val="single" w:color="0000EE"/>
          </w:rPr>
          <w:t>Uredbe (EU) št. 1303/2013</w:t>
        </w:r>
      </w:hyperlink>
      <w:r>
        <w:rPr>
          <w:rFonts w:ascii="Arial" w:eastAsia="Arial" w:hAnsi="Arial" w:cs="Arial"/>
          <w:sz w:val="21"/>
          <w:szCs w:val="21"/>
        </w:rPr>
        <w:t xml:space="preserve">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w:t>
      </w:r>
      <w:hyperlink r:id="rId11" w:tgtFrame="_blank" w:tooltip="to EUR-Lex" w:history="1">
        <w:r>
          <w:rPr>
            <w:rFonts w:ascii="Arial" w:eastAsia="Arial" w:hAnsi="Arial" w:cs="Arial"/>
            <w:color w:val="0000EE"/>
            <w:sz w:val="21"/>
            <w:szCs w:val="21"/>
            <w:u w:val="single" w:color="0000EE"/>
          </w:rPr>
          <w:t>Uredbe Sveta (ES) št. 1083/2006</w:t>
        </w:r>
      </w:hyperlink>
      <w:r>
        <w:rPr>
          <w:rFonts w:ascii="Arial" w:eastAsia="Arial" w:hAnsi="Arial" w:cs="Arial"/>
          <w:sz w:val="21"/>
          <w:szCs w:val="21"/>
        </w:rPr>
        <w:t xml:space="preserve"> (UL L št. 347 z dne 20. 12. 2013, str. 320), zadnjič spremenjene z Uredbo (EU) 2024/795 Evropskega parlamenta in Sveta z dne 29. februarja 2024 o vzpostavitvi platforme za strateške tehnologije za Evropo (platforma STEP) in spremembi </w:t>
      </w:r>
      <w:hyperlink r:id="rId12" w:tgtFrame="_blank" w:tooltip="to EUR-Lex" w:history="1">
        <w:r>
          <w:rPr>
            <w:rFonts w:ascii="Arial" w:eastAsia="Arial" w:hAnsi="Arial" w:cs="Arial"/>
            <w:color w:val="0000EE"/>
            <w:sz w:val="21"/>
            <w:szCs w:val="21"/>
            <w:u w:val="single" w:color="0000EE"/>
          </w:rPr>
          <w:t>Direktive 2003/87/ES</w:t>
        </w:r>
      </w:hyperlink>
      <w:r>
        <w:rPr>
          <w:rFonts w:ascii="Arial" w:eastAsia="Arial" w:hAnsi="Arial" w:cs="Arial"/>
          <w:sz w:val="21"/>
          <w:szCs w:val="21"/>
        </w:rPr>
        <w:t xml:space="preserve"> ter </w:t>
      </w:r>
      <w:hyperlink r:id="rId13" w:tgtFrame="_blank" w:tooltip="to EUR-Lex" w:history="1">
        <w:r>
          <w:rPr>
            <w:rFonts w:ascii="Arial" w:eastAsia="Arial" w:hAnsi="Arial" w:cs="Arial"/>
            <w:color w:val="0000EE"/>
            <w:sz w:val="21"/>
            <w:szCs w:val="21"/>
            <w:u w:val="single" w:color="0000EE"/>
          </w:rPr>
          <w:t>uredb (EU) 2021/1058</w:t>
        </w:r>
      </w:hyperlink>
      <w:r>
        <w:rPr>
          <w:rFonts w:ascii="Arial" w:eastAsia="Arial" w:hAnsi="Arial" w:cs="Arial"/>
          <w:sz w:val="21"/>
          <w:szCs w:val="21"/>
        </w:rPr>
        <w:t xml:space="preserve">, </w:t>
      </w:r>
      <w:hyperlink r:id="rId14" w:tgtFrame="_blank" w:tooltip="to EUR-Lex" w:history="1">
        <w:r>
          <w:rPr>
            <w:rFonts w:ascii="Arial" w:eastAsia="Arial" w:hAnsi="Arial" w:cs="Arial"/>
            <w:color w:val="0000EE"/>
            <w:sz w:val="21"/>
            <w:szCs w:val="21"/>
            <w:u w:val="single" w:color="0000EE"/>
          </w:rPr>
          <w:t>(EU) 2021/1056</w:t>
        </w:r>
      </w:hyperlink>
      <w:r>
        <w:rPr>
          <w:rFonts w:ascii="Arial" w:eastAsia="Arial" w:hAnsi="Arial" w:cs="Arial"/>
          <w:sz w:val="21"/>
          <w:szCs w:val="21"/>
        </w:rPr>
        <w:t xml:space="preserve">, </w:t>
      </w:r>
      <w:hyperlink r:id="rId15" w:tgtFrame="_blank" w:tooltip="to EUR-Lex" w:history="1">
        <w:r>
          <w:rPr>
            <w:rFonts w:ascii="Arial" w:eastAsia="Arial" w:hAnsi="Arial" w:cs="Arial"/>
            <w:color w:val="0000EE"/>
            <w:sz w:val="21"/>
            <w:szCs w:val="21"/>
            <w:u w:val="single" w:color="0000EE"/>
          </w:rPr>
          <w:t>(EU) 2021/1057</w:t>
        </w:r>
      </w:hyperlink>
      <w:r>
        <w:rPr>
          <w:rFonts w:ascii="Arial" w:eastAsia="Arial" w:hAnsi="Arial" w:cs="Arial"/>
          <w:sz w:val="21"/>
          <w:szCs w:val="21"/>
        </w:rPr>
        <w:t xml:space="preserve">, (EU) št. 1303/2013, (EU) št. 223/2014, (EU) 2021/1060, (EU) 2021/523, (EU) 2021/695, (EU) 2021/697 in (EU) 2021/241 (UL L št. 2024/795 z dne 29. 2. 2024), (v nadaljnjem besedilu: </w:t>
      </w:r>
      <w:hyperlink r:id="rId10" w:tgtFrame="_blank" w:tooltip="to EUR-Lex" w:history="1">
        <w:r>
          <w:rPr>
            <w:rFonts w:ascii="Arial" w:eastAsia="Arial" w:hAnsi="Arial" w:cs="Arial"/>
            <w:color w:val="0000EE"/>
            <w:sz w:val="21"/>
            <w:szCs w:val="21"/>
            <w:u w:val="single" w:color="0000EE"/>
          </w:rPr>
          <w:t>Uredba 1303/2013/EU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3.      </w:t>
      </w:r>
      <w:hyperlink r:id="rId16" w:tgtFrame="_blank" w:tooltip="to EUR-Lex" w:history="1">
        <w:r>
          <w:rPr>
            <w:rFonts w:ascii="Arial" w:eastAsia="Arial" w:hAnsi="Arial" w:cs="Arial"/>
            <w:color w:val="0000EE"/>
            <w:sz w:val="21"/>
            <w:szCs w:val="21"/>
            <w:u w:val="single" w:color="0000EE"/>
          </w:rPr>
          <w:t>Uredbe (EU) št. 1305/2013</w:t>
        </w:r>
      </w:hyperlink>
      <w:r>
        <w:rPr>
          <w:rFonts w:ascii="Arial" w:eastAsia="Arial" w:hAnsi="Arial" w:cs="Arial"/>
          <w:sz w:val="21"/>
          <w:szCs w:val="21"/>
        </w:rPr>
        <w:t xml:space="preserve"> Evropskega parlamenta in Sveta z dne 17. decembra 2013 o podpori za razvoj podeželja iz Evropskega kmetijskega sklada za razvoj podeželja (EKSRP) in razveljavitvi </w:t>
      </w:r>
      <w:hyperlink r:id="rId17" w:tgtFrame="_blank" w:tooltip="to EUR-Lex" w:history="1">
        <w:r>
          <w:rPr>
            <w:rFonts w:ascii="Arial" w:eastAsia="Arial" w:hAnsi="Arial" w:cs="Arial"/>
            <w:color w:val="0000EE"/>
            <w:sz w:val="21"/>
            <w:szCs w:val="21"/>
            <w:u w:val="single" w:color="0000EE"/>
          </w:rPr>
          <w:t>Uredbe Sveta (ES) št. 1698/2005</w:t>
        </w:r>
      </w:hyperlink>
      <w:r>
        <w:rPr>
          <w:rFonts w:ascii="Arial" w:eastAsia="Arial" w:hAnsi="Arial" w:cs="Arial"/>
          <w:sz w:val="21"/>
          <w:szCs w:val="21"/>
        </w:rPr>
        <w:t xml:space="preserve"> (UL L št. 347 z dne 20. 12. 2013, str. 487), zadnjič spremenjene z Uredbo (EU) 2022/1033 Evropskega parlamenta in Sveta z dne 29. junija 2022 o spremembi </w:t>
      </w:r>
      <w:hyperlink r:id="rId16" w:tgtFrame="_blank" w:tooltip="to EUR-Lex" w:history="1">
        <w:r>
          <w:rPr>
            <w:rFonts w:ascii="Arial" w:eastAsia="Arial" w:hAnsi="Arial" w:cs="Arial"/>
            <w:color w:val="0000EE"/>
            <w:sz w:val="21"/>
            <w:szCs w:val="21"/>
            <w:u w:val="single" w:color="0000EE"/>
          </w:rPr>
          <w:t>Uredbe (EU) št. 1305/2013</w:t>
        </w:r>
      </w:hyperlink>
      <w:r>
        <w:rPr>
          <w:rFonts w:ascii="Arial" w:eastAsia="Arial" w:hAnsi="Arial" w:cs="Arial"/>
          <w:sz w:val="21"/>
          <w:szCs w:val="21"/>
        </w:rPr>
        <w:t xml:space="preserve"> glede posebnega ukrepa za zagotovitev izjemne začasne podpore v okviru Evropskega kmetijskega sklada za razvoj podeželja (EKSRP) kot odziv na vpliv ruske invazije na Ukrajino (UL L št. 173 z dne 20. 6. 2022, str. 34), (v nadaljnjem besedilu: </w:t>
      </w:r>
      <w:hyperlink r:id="rId16" w:tgtFrame="_blank" w:tooltip="to EUR-Lex" w:history="1">
        <w:r>
          <w:rPr>
            <w:rFonts w:ascii="Arial" w:eastAsia="Arial" w:hAnsi="Arial" w:cs="Arial"/>
            <w:color w:val="0000EE"/>
            <w:sz w:val="21"/>
            <w:szCs w:val="21"/>
            <w:u w:val="single" w:color="0000EE"/>
          </w:rPr>
          <w:t>Uredba 1305/2013/EU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4.      </w:t>
      </w:r>
      <w:hyperlink r:id="rId18" w:tgtFrame="_blank" w:tooltip="to EUR-Lex" w:history="1">
        <w:r>
          <w:rPr>
            <w:rFonts w:ascii="Arial" w:eastAsia="Arial" w:hAnsi="Arial" w:cs="Arial"/>
            <w:color w:val="0000EE"/>
            <w:sz w:val="21"/>
            <w:szCs w:val="21"/>
            <w:u w:val="single" w:color="0000EE"/>
          </w:rPr>
          <w:t>Uredbe (EU) št. 1306/2013</w:t>
        </w:r>
      </w:hyperlink>
      <w:r>
        <w:rPr>
          <w:rFonts w:ascii="Arial" w:eastAsia="Arial" w:hAnsi="Arial" w:cs="Arial"/>
          <w:sz w:val="21"/>
          <w:szCs w:val="21"/>
        </w:rPr>
        <w:t xml:space="preserve"> Evropskega parlamenta in Sveta z dne 17. decembra 2013 o financiranju, upravljanju in spremljanju skupne kmetijske politike in razveljavitvi uredb Sveta (EGS) št. 352/78, (ES) št. 165/94, (ES) št. 2799/98, (EC) No 814/2000, (ES) št. 1290/2005 in (ES) št. 485/2008 (UL L št. 347 z dne 20. 12. 2013, str. 549), zadnjič spremenjene z Izvedbeno </w:t>
      </w:r>
      <w:hyperlink r:id="rId19" w:tgtFrame="_blank" w:tooltip="to EUR-Lex" w:history="1">
        <w:r>
          <w:rPr>
            <w:rFonts w:ascii="Arial" w:eastAsia="Arial" w:hAnsi="Arial" w:cs="Arial"/>
            <w:color w:val="0000EE"/>
            <w:sz w:val="21"/>
            <w:szCs w:val="21"/>
            <w:u w:val="single" w:color="0000EE"/>
          </w:rPr>
          <w:t>uredbo Komisije (EU) 2024/2445</w:t>
        </w:r>
      </w:hyperlink>
      <w:r>
        <w:rPr>
          <w:rFonts w:ascii="Arial" w:eastAsia="Arial" w:hAnsi="Arial" w:cs="Arial"/>
          <w:sz w:val="21"/>
          <w:szCs w:val="21"/>
        </w:rPr>
        <w:t xml:space="preserve"> z dne 11. septembra 2024 o odstopanju za leto 2024 od člena 75(1), tretji pododstavek, </w:t>
      </w:r>
      <w:hyperlink r:id="rId18" w:tgtFrame="_blank" w:tooltip="to EUR-Lex" w:history="1">
        <w:r>
          <w:rPr>
            <w:rFonts w:ascii="Arial" w:eastAsia="Arial" w:hAnsi="Arial" w:cs="Arial"/>
            <w:color w:val="0000EE"/>
            <w:sz w:val="21"/>
            <w:szCs w:val="21"/>
            <w:u w:val="single" w:color="0000EE"/>
          </w:rPr>
          <w:t>Uredbe (EU) št. 1306/2013</w:t>
        </w:r>
      </w:hyperlink>
      <w:r>
        <w:rPr>
          <w:rFonts w:ascii="Arial" w:eastAsia="Arial" w:hAnsi="Arial" w:cs="Arial"/>
          <w:sz w:val="21"/>
          <w:szCs w:val="21"/>
        </w:rPr>
        <w:t xml:space="preserve"> Evropskega parlamenta in Sveta v zvezi s stopnjo predplačil za ukrepe za razvoj podeželja na površino in žival (UL L št. 2024/2445 z dne 12. 9. 2024), (v nadaljnjem besedilu: </w:t>
      </w:r>
      <w:hyperlink r:id="rId18" w:tgtFrame="_blank" w:tooltip="to EUR-Lex" w:history="1">
        <w:r>
          <w:rPr>
            <w:rFonts w:ascii="Arial" w:eastAsia="Arial" w:hAnsi="Arial" w:cs="Arial"/>
            <w:color w:val="0000EE"/>
            <w:sz w:val="21"/>
            <w:szCs w:val="21"/>
            <w:u w:val="single" w:color="0000EE"/>
          </w:rPr>
          <w:t>Uredba 1306/2013/EU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5.      </w:t>
      </w:r>
      <w:hyperlink r:id="rId20" w:tgtFrame="_blank" w:tooltip="to EUR-Lex" w:history="1">
        <w:r>
          <w:rPr>
            <w:rFonts w:ascii="Arial" w:eastAsia="Arial" w:hAnsi="Arial" w:cs="Arial"/>
            <w:color w:val="0000EE"/>
            <w:sz w:val="21"/>
            <w:szCs w:val="21"/>
            <w:u w:val="single" w:color="0000EE"/>
          </w:rPr>
          <w:t>Uredbe (EU) št. 1310/2013</w:t>
        </w:r>
      </w:hyperlink>
      <w:r>
        <w:rPr>
          <w:rFonts w:ascii="Arial" w:eastAsia="Arial" w:hAnsi="Arial" w:cs="Arial"/>
          <w:sz w:val="21"/>
          <w:szCs w:val="21"/>
        </w:rPr>
        <w:t xml:space="preserve"> Evropskega parlamenta in Sveta z dne 17. decembra 2013 o določitvi nekaterih prehodnih določb glede podpore za razvoj podeželja iz Evropskega kmetijskega sklada za razvoj podeželja (EKSRP), o spremembi </w:t>
      </w:r>
      <w:hyperlink r:id="rId16" w:tgtFrame="_blank" w:tooltip="to EUR-Lex" w:history="1">
        <w:r>
          <w:rPr>
            <w:rFonts w:ascii="Arial" w:eastAsia="Arial" w:hAnsi="Arial" w:cs="Arial"/>
            <w:color w:val="0000EE"/>
            <w:sz w:val="21"/>
            <w:szCs w:val="21"/>
            <w:u w:val="single" w:color="0000EE"/>
          </w:rPr>
          <w:t>Uredbe (EU) št. 1305/2013</w:t>
        </w:r>
      </w:hyperlink>
      <w:r>
        <w:rPr>
          <w:rFonts w:ascii="Arial" w:eastAsia="Arial" w:hAnsi="Arial" w:cs="Arial"/>
          <w:sz w:val="21"/>
          <w:szCs w:val="21"/>
        </w:rPr>
        <w:t xml:space="preserve"> Evropskega parlamenta in Sveta glede sredstev in njihove razdelitve za leto 2014 in o spremembi </w:t>
      </w:r>
      <w:hyperlink r:id="rId21" w:tgtFrame="_blank" w:tooltip="to EUR-Lex" w:history="1">
        <w:r>
          <w:rPr>
            <w:rFonts w:ascii="Arial" w:eastAsia="Arial" w:hAnsi="Arial" w:cs="Arial"/>
            <w:color w:val="0000EE"/>
            <w:sz w:val="21"/>
            <w:szCs w:val="21"/>
            <w:u w:val="single" w:color="0000EE"/>
          </w:rPr>
          <w:t>Uredbe Sveta (ES) št. 73/2009</w:t>
        </w:r>
      </w:hyperlink>
      <w:r>
        <w:rPr>
          <w:rFonts w:ascii="Arial" w:eastAsia="Arial" w:hAnsi="Arial" w:cs="Arial"/>
          <w:sz w:val="21"/>
          <w:szCs w:val="21"/>
        </w:rPr>
        <w:t xml:space="preserve"> in </w:t>
      </w:r>
      <w:hyperlink r:id="rId22" w:tgtFrame="_blank" w:tooltip="to EUR-Lex" w:history="1">
        <w:r>
          <w:rPr>
            <w:rFonts w:ascii="Arial" w:eastAsia="Arial" w:hAnsi="Arial" w:cs="Arial"/>
            <w:color w:val="0000EE"/>
            <w:sz w:val="21"/>
            <w:szCs w:val="21"/>
            <w:u w:val="single" w:color="0000EE"/>
          </w:rPr>
          <w:t>uredb (EU) št. 1307/2013</w:t>
        </w:r>
      </w:hyperlink>
      <w:r>
        <w:rPr>
          <w:rFonts w:ascii="Arial" w:eastAsia="Arial" w:hAnsi="Arial" w:cs="Arial"/>
          <w:sz w:val="21"/>
          <w:szCs w:val="21"/>
        </w:rPr>
        <w:t xml:space="preserve">, </w:t>
      </w:r>
      <w:hyperlink r:id="rId18" w:tgtFrame="_blank" w:tooltip="to EUR-Lex" w:history="1">
        <w:r>
          <w:rPr>
            <w:rFonts w:ascii="Arial" w:eastAsia="Arial" w:hAnsi="Arial" w:cs="Arial"/>
            <w:color w:val="0000EE"/>
            <w:sz w:val="21"/>
            <w:szCs w:val="21"/>
            <w:u w:val="single" w:color="0000EE"/>
          </w:rPr>
          <w:t>(EU) št. 1306/2013</w:t>
        </w:r>
      </w:hyperlink>
      <w:r>
        <w:rPr>
          <w:rFonts w:ascii="Arial" w:eastAsia="Arial" w:hAnsi="Arial" w:cs="Arial"/>
          <w:sz w:val="21"/>
          <w:szCs w:val="21"/>
        </w:rPr>
        <w:t xml:space="preserve"> in </w:t>
      </w:r>
      <w:hyperlink r:id="rId23" w:tgtFrame="_blank" w:tooltip="to EUR-Lex" w:history="1">
        <w:r>
          <w:rPr>
            <w:rFonts w:ascii="Arial" w:eastAsia="Arial" w:hAnsi="Arial" w:cs="Arial"/>
            <w:color w:val="0000EE"/>
            <w:sz w:val="21"/>
            <w:szCs w:val="21"/>
            <w:u w:val="single" w:color="0000EE"/>
          </w:rPr>
          <w:t>(EU) št. 1308/2013</w:t>
        </w:r>
      </w:hyperlink>
      <w:r>
        <w:rPr>
          <w:rFonts w:ascii="Arial" w:eastAsia="Arial" w:hAnsi="Arial" w:cs="Arial"/>
          <w:sz w:val="21"/>
          <w:szCs w:val="21"/>
        </w:rPr>
        <w:t xml:space="preserve"> Evropskega parlamenta in Sveta v zvezi z njihovo uporabo v letu 2014 (UL L št. 347 z dne 20. 12. 2013, str. 865), zadnjič popravljene s Popravkom (UL L št. 130 z dne 19. 5. 2016, str. 12), (v nadaljnjem besedilu: </w:t>
      </w:r>
      <w:hyperlink r:id="rId20" w:tgtFrame="_blank" w:tooltip="to EUR-Lex" w:history="1">
        <w:r>
          <w:rPr>
            <w:rFonts w:ascii="Arial" w:eastAsia="Arial" w:hAnsi="Arial" w:cs="Arial"/>
            <w:color w:val="0000EE"/>
            <w:sz w:val="21"/>
            <w:szCs w:val="21"/>
            <w:u w:val="single" w:color="0000EE"/>
          </w:rPr>
          <w:t>Uredba 1310/2013/EU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6.      </w:t>
      </w:r>
      <w:hyperlink r:id="rId24" w:tgtFrame="_blank" w:tooltip="to EUR-Lex" w:history="1">
        <w:r>
          <w:rPr>
            <w:rFonts w:ascii="Arial" w:eastAsia="Arial" w:hAnsi="Arial" w:cs="Arial"/>
            <w:color w:val="0000EE"/>
            <w:sz w:val="21"/>
            <w:szCs w:val="21"/>
            <w:u w:val="single" w:color="0000EE"/>
          </w:rPr>
          <w:t>Uredbe Komisije (EU) št. 1407/2013</w:t>
        </w:r>
      </w:hyperlink>
      <w:r>
        <w:rPr>
          <w:rFonts w:ascii="Arial" w:eastAsia="Arial" w:hAnsi="Arial" w:cs="Arial"/>
          <w:sz w:val="21"/>
          <w:szCs w:val="21"/>
        </w:rPr>
        <w:t xml:space="preserve"> z dne 18. decembra 2013 o uporabi členov 107 in 108 Pogodbe o delovanju Evropske unije pri pomoči de minimis (UL L št. 352 z dne 24. 12. 2013, str. 1), zadnjič spremenjene z Uredbo Komisije (EU) 2023/2391 z dne 4. oktobra 2023 o spremembi uredb (EU) št. 717/2014, (EU) št. 1407/2013, (EU) št. 1408/2013 in (EU) št. 360/2012 glede pomoči de minimis za predelavo in trženje ribiških proizvodov in proizvodov iz akvakulture ter Uredbe (EU) št. 717/2014 glede skupnega zneska pomoči de minimis, dodeljene enemu podjetju, obdobja njene uporabe in drugih zadev (UL L št. 2023/2391 z dne 5. 10. 2023), (v nadaljnjem besedilu: </w:t>
      </w:r>
      <w:hyperlink r:id="rId24" w:tgtFrame="_blank" w:tooltip="to EUR-Lex" w:history="1">
        <w:r>
          <w:rPr>
            <w:rFonts w:ascii="Arial" w:eastAsia="Arial" w:hAnsi="Arial" w:cs="Arial"/>
            <w:color w:val="0000EE"/>
            <w:sz w:val="21"/>
            <w:szCs w:val="21"/>
            <w:u w:val="single" w:color="0000EE"/>
          </w:rPr>
          <w:t>Uredba 1407/2013/EU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7.      </w:t>
      </w:r>
      <w:hyperlink r:id="rId25" w:tgtFrame="_blank" w:tooltip="to EUR-Lex" w:history="1">
        <w:r>
          <w:rPr>
            <w:rFonts w:ascii="Arial" w:eastAsia="Arial" w:hAnsi="Arial" w:cs="Arial"/>
            <w:color w:val="0000EE"/>
            <w:sz w:val="21"/>
            <w:szCs w:val="21"/>
            <w:u w:val="single" w:color="0000EE"/>
          </w:rPr>
          <w:t>Izvedbene uredbe Komisije (EU) št. 184/2014</w:t>
        </w:r>
      </w:hyperlink>
      <w:r>
        <w:rPr>
          <w:rFonts w:ascii="Arial" w:eastAsia="Arial" w:hAnsi="Arial" w:cs="Arial"/>
          <w:sz w:val="21"/>
          <w:szCs w:val="21"/>
        </w:rPr>
        <w:t xml:space="preserve"> z dne 25. februarja 2014 o določitvi pogojev za sistem elektronske izmenjave podatkov med državami članicami in Komisijo v skladu z </w:t>
      </w:r>
      <w:hyperlink r:id="rId10" w:tgtFrame="_blank" w:tooltip="to EUR-Lex" w:history="1">
        <w:r>
          <w:rPr>
            <w:rFonts w:ascii="Arial" w:eastAsia="Arial" w:hAnsi="Arial" w:cs="Arial"/>
            <w:color w:val="0000EE"/>
            <w:sz w:val="21"/>
            <w:szCs w:val="21"/>
            <w:u w:val="single" w:color="0000EE"/>
          </w:rPr>
          <w:t>Uredbo (EU) št. 1303/2013</w:t>
        </w:r>
      </w:hyperlink>
      <w:r>
        <w:rPr>
          <w:rFonts w:ascii="Arial" w:eastAsia="Arial" w:hAnsi="Arial" w:cs="Arial"/>
          <w:sz w:val="21"/>
          <w:szCs w:val="21"/>
        </w:rPr>
        <w:t xml:space="preserve">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ter o sprejetju nomenklature za kategorije ukrepov za podporo cilju »evropsko teritorialno sodelovanje« iz Evropskega sklada za regionalni razvoj v skladu z </w:t>
      </w:r>
      <w:hyperlink r:id="rId26" w:tgtFrame="_blank" w:tooltip="to EUR-Lex" w:history="1">
        <w:r>
          <w:rPr>
            <w:rFonts w:ascii="Arial" w:eastAsia="Arial" w:hAnsi="Arial" w:cs="Arial"/>
            <w:color w:val="0000EE"/>
            <w:sz w:val="21"/>
            <w:szCs w:val="21"/>
            <w:u w:val="single" w:color="0000EE"/>
          </w:rPr>
          <w:t>Uredbo (EU) št. 1299/2013</w:t>
        </w:r>
      </w:hyperlink>
      <w:r>
        <w:rPr>
          <w:rFonts w:ascii="Arial" w:eastAsia="Arial" w:hAnsi="Arial" w:cs="Arial"/>
          <w:sz w:val="21"/>
          <w:szCs w:val="21"/>
        </w:rPr>
        <w:t xml:space="preserve"> Evropskega parlamenta in Sveta o posebnih določbah za podporo cilju »evropsko teritorialno sodelovanje« iz Evropskega sklada za regionalni razvoj (UL L št. 57 z dne 27. 2. 2014, str. 7), zadnjič spremenjena z </w:t>
      </w:r>
      <w:hyperlink r:id="rId27" w:tgtFrame="_blank" w:tooltip="to EUR-Lex" w:history="1">
        <w:r>
          <w:rPr>
            <w:rFonts w:ascii="Arial" w:eastAsia="Arial" w:hAnsi="Arial" w:cs="Arial"/>
            <w:color w:val="0000EE"/>
            <w:sz w:val="21"/>
            <w:szCs w:val="21"/>
            <w:u w:val="single" w:color="0000EE"/>
          </w:rPr>
          <w:t>Izvedbeno uredbo Komisije (EU) 2021/438</w:t>
        </w:r>
      </w:hyperlink>
      <w:r>
        <w:rPr>
          <w:rFonts w:ascii="Arial" w:eastAsia="Arial" w:hAnsi="Arial" w:cs="Arial"/>
          <w:sz w:val="21"/>
          <w:szCs w:val="21"/>
        </w:rPr>
        <w:t xml:space="preserve"> z dne 3. marca 2021 o spremembi </w:t>
      </w:r>
      <w:hyperlink r:id="rId25" w:tgtFrame="_blank" w:tooltip="to EUR-Lex" w:history="1">
        <w:r>
          <w:rPr>
            <w:rFonts w:ascii="Arial" w:eastAsia="Arial" w:hAnsi="Arial" w:cs="Arial"/>
            <w:color w:val="0000EE"/>
            <w:sz w:val="21"/>
            <w:szCs w:val="21"/>
            <w:u w:val="single" w:color="0000EE"/>
          </w:rPr>
          <w:t>Izvedbene uredbe (EU) št. 184/2014</w:t>
        </w:r>
      </w:hyperlink>
      <w:r>
        <w:rPr>
          <w:rFonts w:ascii="Arial" w:eastAsia="Arial" w:hAnsi="Arial" w:cs="Arial"/>
          <w:sz w:val="21"/>
          <w:szCs w:val="21"/>
        </w:rPr>
        <w:t xml:space="preserve"> glede vključitve novega tematskega cilja v nomenklaturo kategorij ukrepov v okviru cilja „evropsko teritorialno sodelovanje“ razvoj (UL L št. 85 z dne 12. 3. 2021, str. 147);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8.      </w:t>
      </w:r>
      <w:hyperlink r:id="rId28" w:tgtFrame="_blank" w:tooltip="to EUR-Lex" w:history="1">
        <w:r>
          <w:rPr>
            <w:rFonts w:ascii="Arial" w:eastAsia="Arial" w:hAnsi="Arial" w:cs="Arial"/>
            <w:color w:val="0000EE"/>
            <w:sz w:val="21"/>
            <w:szCs w:val="21"/>
            <w:u w:val="single" w:color="0000EE"/>
          </w:rPr>
          <w:t>Izvedbene uredbe Komisije (EU) št. 215/2014</w:t>
        </w:r>
      </w:hyperlink>
      <w:r>
        <w:rPr>
          <w:rFonts w:ascii="Arial" w:eastAsia="Arial" w:hAnsi="Arial" w:cs="Arial"/>
          <w:sz w:val="21"/>
          <w:szCs w:val="21"/>
        </w:rPr>
        <w:t xml:space="preserve"> z dne 7. marca 2014 o določitvi pravil za izvajanje </w:t>
      </w:r>
      <w:hyperlink r:id="rId10" w:tgtFrame="_blank" w:tooltip="to EUR-Lex" w:history="1">
        <w:r>
          <w:rPr>
            <w:rFonts w:ascii="Arial" w:eastAsia="Arial" w:hAnsi="Arial" w:cs="Arial"/>
            <w:color w:val="0000EE"/>
            <w:sz w:val="21"/>
            <w:szCs w:val="21"/>
            <w:u w:val="single" w:color="0000EE"/>
          </w:rPr>
          <w:t>Uredbe (EU) št. 1303/2013</w:t>
        </w:r>
      </w:hyperlink>
      <w:r>
        <w:rPr>
          <w:rFonts w:ascii="Arial" w:eastAsia="Arial" w:hAnsi="Arial" w:cs="Arial"/>
          <w:sz w:val="21"/>
          <w:szCs w:val="21"/>
        </w:rPr>
        <w:t xml:space="preserve">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v zvezi z metodologijami za določitev podpore ciljem na področju podnebnih sprememb, določitvijo mejnikov in ciljnih vrednosti v okviru uspešnosti ter nomenklaturo kategorij ukrepov za strukturne in investicijske sklade (UL L št. 69 z dne 8. 3. 2014, str. 65), zadnjič spremenjene z </w:t>
      </w:r>
      <w:hyperlink r:id="rId29" w:tgtFrame="_blank" w:tooltip="to EUR-Lex" w:history="1">
        <w:r>
          <w:rPr>
            <w:rFonts w:ascii="Arial" w:eastAsia="Arial" w:hAnsi="Arial" w:cs="Arial"/>
            <w:color w:val="0000EE"/>
            <w:sz w:val="21"/>
            <w:szCs w:val="21"/>
            <w:u w:val="single" w:color="0000EE"/>
          </w:rPr>
          <w:t>Izvedbeno uredbo Komisije (EU) št. 2021/439</w:t>
        </w:r>
      </w:hyperlink>
      <w:r>
        <w:rPr>
          <w:rFonts w:ascii="Arial" w:eastAsia="Arial" w:hAnsi="Arial" w:cs="Arial"/>
          <w:sz w:val="21"/>
          <w:szCs w:val="21"/>
        </w:rPr>
        <w:t xml:space="preserve"> z dne 3. marca 2021 o spremembi </w:t>
      </w:r>
      <w:hyperlink r:id="rId28" w:tgtFrame="_blank" w:tooltip="to EUR-Lex" w:history="1">
        <w:r>
          <w:rPr>
            <w:rFonts w:ascii="Arial" w:eastAsia="Arial" w:hAnsi="Arial" w:cs="Arial"/>
            <w:color w:val="0000EE"/>
            <w:sz w:val="21"/>
            <w:szCs w:val="21"/>
            <w:u w:val="single" w:color="0000EE"/>
          </w:rPr>
          <w:t>Izvedbene uredbe (EU) št. 215/2014</w:t>
        </w:r>
      </w:hyperlink>
      <w:r>
        <w:rPr>
          <w:rFonts w:ascii="Arial" w:eastAsia="Arial" w:hAnsi="Arial" w:cs="Arial"/>
          <w:sz w:val="21"/>
          <w:szCs w:val="21"/>
        </w:rPr>
        <w:t xml:space="preserve"> glede vključitve novega tematskega cilja v nomenklaturo kategorij ukrepov za ESRR, ESS in Kohezijski sklad v okviru cilja „naložbe za rast in delovna mesta“ (UL L št. 85 z dne 12. 3. 2021, str. 149);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9.      </w:t>
      </w:r>
      <w:hyperlink r:id="rId30" w:tgtFrame="_blank" w:tooltip="to EUR-Lex" w:history="1">
        <w:r>
          <w:rPr>
            <w:rFonts w:ascii="Arial" w:eastAsia="Arial" w:hAnsi="Arial" w:cs="Arial"/>
            <w:color w:val="0000EE"/>
            <w:sz w:val="21"/>
            <w:szCs w:val="21"/>
            <w:u w:val="single" w:color="0000EE"/>
          </w:rPr>
          <w:t>Delegirane uredbe Komisije (EU) št. 240/2014</w:t>
        </w:r>
      </w:hyperlink>
      <w:r>
        <w:rPr>
          <w:rFonts w:ascii="Arial" w:eastAsia="Arial" w:hAnsi="Arial" w:cs="Arial"/>
          <w:sz w:val="21"/>
          <w:szCs w:val="21"/>
        </w:rPr>
        <w:t xml:space="preserve"> z dne 7. januarja 2014 o Evropskem kodeksu dobre prakse za partnerstvo v okviru evropskih strukturnih in investicijskih skladov (UL L št. 74 z dne 14. 3. 2014, str. 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10.   </w:t>
      </w:r>
      <w:hyperlink r:id="rId31" w:tgtFrame="_blank" w:tooltip="to EUR-Lex" w:history="1">
        <w:r>
          <w:rPr>
            <w:rFonts w:ascii="Arial" w:eastAsia="Arial" w:hAnsi="Arial" w:cs="Arial"/>
            <w:color w:val="0000EE"/>
            <w:sz w:val="21"/>
            <w:szCs w:val="21"/>
            <w:u w:val="single" w:color="0000EE"/>
          </w:rPr>
          <w:t>Delegirane uredbe Komisije (EU) št. 480/2014</w:t>
        </w:r>
      </w:hyperlink>
      <w:r>
        <w:rPr>
          <w:rFonts w:ascii="Arial" w:eastAsia="Arial" w:hAnsi="Arial" w:cs="Arial"/>
          <w:sz w:val="21"/>
          <w:szCs w:val="21"/>
        </w:rPr>
        <w:t xml:space="preserve"> z dne 3. marca 2014 o dopolnitvi </w:t>
      </w:r>
      <w:hyperlink r:id="rId10" w:tgtFrame="_blank" w:tooltip="to EUR-Lex" w:history="1">
        <w:r>
          <w:rPr>
            <w:rFonts w:ascii="Arial" w:eastAsia="Arial" w:hAnsi="Arial" w:cs="Arial"/>
            <w:color w:val="0000EE"/>
            <w:sz w:val="21"/>
            <w:szCs w:val="21"/>
            <w:u w:val="single" w:color="0000EE"/>
          </w:rPr>
          <w:t>Uredbe (EU) št. 1303/2013</w:t>
        </w:r>
      </w:hyperlink>
      <w:r>
        <w:rPr>
          <w:rFonts w:ascii="Arial" w:eastAsia="Arial" w:hAnsi="Arial" w:cs="Arial"/>
          <w:sz w:val="21"/>
          <w:szCs w:val="21"/>
        </w:rPr>
        <w:t xml:space="preserve">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(UL L št. 138 z dne 13. 5. 2014, str. 5), zadnjič spremenjene z </w:t>
      </w:r>
      <w:hyperlink r:id="rId32" w:tgtFrame="_blank" w:tooltip="to EUR-Lex" w:history="1">
        <w:r>
          <w:rPr>
            <w:rFonts w:ascii="Arial" w:eastAsia="Arial" w:hAnsi="Arial" w:cs="Arial"/>
            <w:color w:val="0000EE"/>
            <w:sz w:val="21"/>
            <w:szCs w:val="21"/>
            <w:u w:val="single" w:color="0000EE"/>
          </w:rPr>
          <w:t>Delegirano uredbo Komisije (EU) 2019/886</w:t>
        </w:r>
      </w:hyperlink>
      <w:r>
        <w:rPr>
          <w:rFonts w:ascii="Arial" w:eastAsia="Arial" w:hAnsi="Arial" w:cs="Arial"/>
          <w:sz w:val="21"/>
          <w:szCs w:val="21"/>
        </w:rPr>
        <w:t xml:space="preserve"> z dne 12. februarja 2019 o spremembi in popravku </w:t>
      </w:r>
      <w:hyperlink r:id="rId31" w:tgtFrame="_blank" w:tooltip="to EUR-Lex" w:history="1">
        <w:r>
          <w:rPr>
            <w:rFonts w:ascii="Arial" w:eastAsia="Arial" w:hAnsi="Arial" w:cs="Arial"/>
            <w:color w:val="0000EE"/>
            <w:sz w:val="21"/>
            <w:szCs w:val="21"/>
            <w:u w:val="single" w:color="0000EE"/>
          </w:rPr>
          <w:t>Delegirane uredbe (EU) št. 480/2014</w:t>
        </w:r>
      </w:hyperlink>
      <w:r>
        <w:rPr>
          <w:rFonts w:ascii="Arial" w:eastAsia="Arial" w:hAnsi="Arial" w:cs="Arial"/>
          <w:sz w:val="21"/>
          <w:szCs w:val="21"/>
        </w:rPr>
        <w:t xml:space="preserve"> glede določb o finančnih instrumentih, možnostih poenostavljenega obračunavanja stroškov, revizijski sledi, obsegu in vsebini revizij operacij in metodologiji za izbor vzorca operacij ter glede Priloge III (UL L št. 142 z dne 29. 5. 2019, str. 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11.    </w:t>
      </w:r>
      <w:hyperlink r:id="rId33" w:tgtFrame="_blank" w:tooltip="to EUR-Lex" w:history="1">
        <w:r>
          <w:rPr>
            <w:rFonts w:ascii="Arial" w:eastAsia="Arial" w:hAnsi="Arial" w:cs="Arial"/>
            <w:color w:val="0000EE"/>
            <w:sz w:val="21"/>
            <w:szCs w:val="21"/>
            <w:u w:val="single" w:color="0000EE"/>
          </w:rPr>
          <w:t>Uredbe (EU) št. 508/2014</w:t>
        </w:r>
      </w:hyperlink>
      <w:r>
        <w:rPr>
          <w:rFonts w:ascii="Arial" w:eastAsia="Arial" w:hAnsi="Arial" w:cs="Arial"/>
          <w:sz w:val="21"/>
          <w:szCs w:val="21"/>
        </w:rPr>
        <w:t xml:space="preserve"> Evropskega parlamenta in Sveta z dne 15. maja 2014 o Evropskem skladu za pomorstvo in ribištvo in razveljavitvi </w:t>
      </w:r>
      <w:hyperlink r:id="rId34" w:tgtFrame="_blank" w:tooltip="to EUR-Lex" w:history="1">
        <w:r>
          <w:rPr>
            <w:rFonts w:ascii="Arial" w:eastAsia="Arial" w:hAnsi="Arial" w:cs="Arial"/>
            <w:color w:val="0000EE"/>
            <w:sz w:val="21"/>
            <w:szCs w:val="21"/>
            <w:u w:val="single" w:color="0000EE"/>
          </w:rPr>
          <w:t>uredb Sveta (ES) št. 2328/2003</w:t>
        </w:r>
      </w:hyperlink>
      <w:r>
        <w:rPr>
          <w:rFonts w:ascii="Arial" w:eastAsia="Arial" w:hAnsi="Arial" w:cs="Arial"/>
          <w:sz w:val="21"/>
          <w:szCs w:val="21"/>
        </w:rPr>
        <w:t xml:space="preserve">, (ES) št. 861/2006, (ES) št. 1198/2006 in (ES) št. 791/2007 in </w:t>
      </w:r>
      <w:hyperlink r:id="rId35" w:tgtFrame="_blank" w:tooltip="to EUR-Lex" w:history="1">
        <w:r>
          <w:rPr>
            <w:rFonts w:ascii="Arial" w:eastAsia="Arial" w:hAnsi="Arial" w:cs="Arial"/>
            <w:color w:val="0000EE"/>
            <w:sz w:val="21"/>
            <w:szCs w:val="21"/>
            <w:u w:val="single" w:color="0000EE"/>
          </w:rPr>
          <w:t>Uredbe (EU) št. 1255/2011</w:t>
        </w:r>
      </w:hyperlink>
      <w:r>
        <w:rPr>
          <w:rFonts w:ascii="Arial" w:eastAsia="Arial" w:hAnsi="Arial" w:cs="Arial"/>
          <w:sz w:val="21"/>
          <w:szCs w:val="21"/>
        </w:rPr>
        <w:t xml:space="preserve"> Evropskega parlamenta in Sveta (UL L št. 149 z dne 20. 5. 2014, str. 1), zadnjič spremenjene z </w:t>
      </w:r>
      <w:hyperlink r:id="rId36" w:tgtFrame="_blank" w:tooltip="to EUR-Lex" w:history="1">
        <w:r>
          <w:rPr>
            <w:rFonts w:ascii="Arial" w:eastAsia="Arial" w:hAnsi="Arial" w:cs="Arial"/>
            <w:color w:val="0000EE"/>
            <w:sz w:val="21"/>
            <w:szCs w:val="21"/>
            <w:u w:val="single" w:color="0000EE"/>
          </w:rPr>
          <w:t>Uredbo (EU) 2022/1278</w:t>
        </w:r>
      </w:hyperlink>
      <w:r>
        <w:rPr>
          <w:rFonts w:ascii="Arial" w:eastAsia="Arial" w:hAnsi="Arial" w:cs="Arial"/>
          <w:sz w:val="21"/>
          <w:szCs w:val="21"/>
        </w:rPr>
        <w:t xml:space="preserve"> Evropskega parlamenta in Sveta z dne 18. julija 2022 o spremembi </w:t>
      </w:r>
      <w:hyperlink r:id="rId33" w:tgtFrame="_blank" w:tooltip="to EUR-Lex" w:history="1">
        <w:r>
          <w:rPr>
            <w:rFonts w:ascii="Arial" w:eastAsia="Arial" w:hAnsi="Arial" w:cs="Arial"/>
            <w:color w:val="0000EE"/>
            <w:sz w:val="21"/>
            <w:szCs w:val="21"/>
            <w:u w:val="single" w:color="0000EE"/>
          </w:rPr>
          <w:t>Uredbe (EU) št. 508/2014</w:t>
        </w:r>
      </w:hyperlink>
      <w:r>
        <w:rPr>
          <w:rFonts w:ascii="Arial" w:eastAsia="Arial" w:hAnsi="Arial" w:cs="Arial"/>
          <w:sz w:val="21"/>
          <w:szCs w:val="21"/>
        </w:rPr>
        <w:t xml:space="preserve"> v zvezi s posebnimi ukrepi za ublažitev posledic vojne agresije Rusije proti Ukrajini za ribolovne dejavnosti in omilitev učinkov motenj na trgu, ki jih je povzročila navedena vojna agresija na dobavno verigo ribiških proizvodov in proizvodov iz akvakulture (UL L št. 195 z dne 22. 7. 2022, str. 1), (v nadaljnjem besedilu: </w:t>
      </w:r>
      <w:hyperlink r:id="rId33" w:tgtFrame="_blank" w:tooltip="to EUR-Lex" w:history="1">
        <w:r>
          <w:rPr>
            <w:rFonts w:ascii="Arial" w:eastAsia="Arial" w:hAnsi="Arial" w:cs="Arial"/>
            <w:color w:val="0000EE"/>
            <w:sz w:val="21"/>
            <w:szCs w:val="21"/>
            <w:u w:val="single" w:color="0000EE"/>
          </w:rPr>
          <w:t>Uredba 508/2014/EU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12.   </w:t>
      </w:r>
      <w:hyperlink r:id="rId37" w:tgtFrame="_blank" w:tooltip="to EUR-Lex" w:history="1">
        <w:r>
          <w:rPr>
            <w:rFonts w:ascii="Arial" w:eastAsia="Arial" w:hAnsi="Arial" w:cs="Arial"/>
            <w:color w:val="0000EE"/>
            <w:sz w:val="21"/>
            <w:szCs w:val="21"/>
            <w:u w:val="single" w:color="0000EE"/>
          </w:rPr>
          <w:t>Delegirane uredbe Komisije (EU) št. 522/2014</w:t>
        </w:r>
      </w:hyperlink>
      <w:r>
        <w:rPr>
          <w:rFonts w:ascii="Arial" w:eastAsia="Arial" w:hAnsi="Arial" w:cs="Arial"/>
          <w:sz w:val="21"/>
          <w:szCs w:val="21"/>
        </w:rPr>
        <w:t xml:space="preserve"> z dne 11. marca 2014 o dopolnitvi </w:t>
      </w:r>
      <w:hyperlink r:id="rId7" w:tgtFrame="_blank" w:tooltip="to EUR-Lex" w:history="1">
        <w:r>
          <w:rPr>
            <w:rFonts w:ascii="Arial" w:eastAsia="Arial" w:hAnsi="Arial" w:cs="Arial"/>
            <w:color w:val="0000EE"/>
            <w:sz w:val="21"/>
            <w:szCs w:val="21"/>
            <w:u w:val="single" w:color="0000EE"/>
          </w:rPr>
          <w:t>Uredbe (EU) št. 1301/2013</w:t>
        </w:r>
      </w:hyperlink>
      <w:r>
        <w:rPr>
          <w:rFonts w:ascii="Arial" w:eastAsia="Arial" w:hAnsi="Arial" w:cs="Arial"/>
          <w:sz w:val="21"/>
          <w:szCs w:val="21"/>
        </w:rPr>
        <w:t xml:space="preserve"> Evropskega parlamenta in Sveta v zvezi s podrobnimi pravili o načelih za izbor in upravljanje inovativnih ukrepov na področju trajnostnega urbanega razvoja, ki jih podpira Evropski sklad za regionalni razvoj (UL L št. 148 z dne 20. 5. 2014, str. 1), zadnjič spremenjene z </w:t>
      </w:r>
      <w:hyperlink r:id="rId38" w:tgtFrame="_blank" w:tooltip="to EUR-Lex" w:history="1">
        <w:r>
          <w:rPr>
            <w:rFonts w:ascii="Arial" w:eastAsia="Arial" w:hAnsi="Arial" w:cs="Arial"/>
            <w:color w:val="0000EE"/>
            <w:sz w:val="21"/>
            <w:szCs w:val="21"/>
            <w:u w:val="single" w:color="0000EE"/>
          </w:rPr>
          <w:t>Delegirano uredbo Komisije (EU) 2017/2056</w:t>
        </w:r>
      </w:hyperlink>
      <w:r>
        <w:rPr>
          <w:rFonts w:ascii="Arial" w:eastAsia="Arial" w:hAnsi="Arial" w:cs="Arial"/>
          <w:sz w:val="21"/>
          <w:szCs w:val="21"/>
        </w:rPr>
        <w:t xml:space="preserve"> z dne 22. avgusta 2017 o spremembi </w:t>
      </w:r>
      <w:hyperlink r:id="rId37" w:tgtFrame="_blank" w:tooltip="to EUR-Lex" w:history="1">
        <w:r>
          <w:rPr>
            <w:rFonts w:ascii="Arial" w:eastAsia="Arial" w:hAnsi="Arial" w:cs="Arial"/>
            <w:color w:val="0000EE"/>
            <w:sz w:val="21"/>
            <w:szCs w:val="21"/>
            <w:u w:val="single" w:color="0000EE"/>
          </w:rPr>
          <w:t>Delegirane uredbe (EU) št. 522/2014</w:t>
        </w:r>
      </w:hyperlink>
      <w:r>
        <w:rPr>
          <w:rFonts w:ascii="Arial" w:eastAsia="Arial" w:hAnsi="Arial" w:cs="Arial"/>
          <w:sz w:val="21"/>
          <w:szCs w:val="21"/>
        </w:rPr>
        <w:t xml:space="preserve"> o dopolnitvi </w:t>
      </w:r>
      <w:hyperlink r:id="rId7" w:tgtFrame="_blank" w:tooltip="to EUR-Lex" w:history="1">
        <w:r>
          <w:rPr>
            <w:rFonts w:ascii="Arial" w:eastAsia="Arial" w:hAnsi="Arial" w:cs="Arial"/>
            <w:color w:val="0000EE"/>
            <w:sz w:val="21"/>
            <w:szCs w:val="21"/>
            <w:u w:val="single" w:color="0000EE"/>
          </w:rPr>
          <w:t>Uredbe (EU) št. 1301/2013</w:t>
        </w:r>
      </w:hyperlink>
      <w:r>
        <w:rPr>
          <w:rFonts w:ascii="Arial" w:eastAsia="Arial" w:hAnsi="Arial" w:cs="Arial"/>
          <w:sz w:val="21"/>
          <w:szCs w:val="21"/>
        </w:rPr>
        <w:t xml:space="preserve"> Evropskega parlamenta in Sveta v zvezi s podrobnimi pravili o načelih za izbor in upravljanje inovativnih ukrepov na področju trajnostnega urbanega razvoja, ki jih podpira Evropski sklad za regionalni razvoj (UL L št. 294 z dne 11. 11. 2017, str. 26);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13.   </w:t>
      </w:r>
      <w:hyperlink r:id="rId39" w:tgtFrame="_blank" w:tooltip="to EUR-Lex" w:history="1">
        <w:r>
          <w:rPr>
            <w:rFonts w:ascii="Arial" w:eastAsia="Arial" w:hAnsi="Arial" w:cs="Arial"/>
            <w:color w:val="0000EE"/>
            <w:sz w:val="21"/>
            <w:szCs w:val="21"/>
            <w:u w:val="single" w:color="0000EE"/>
          </w:rPr>
          <w:t>Delegirane uredbe Komisije (EU) št. 640/2014</w:t>
        </w:r>
      </w:hyperlink>
      <w:r>
        <w:rPr>
          <w:rFonts w:ascii="Arial" w:eastAsia="Arial" w:hAnsi="Arial" w:cs="Arial"/>
          <w:sz w:val="21"/>
          <w:szCs w:val="21"/>
        </w:rPr>
        <w:t xml:space="preserve"> z dne 11. marca 2014 o dopolnitvi </w:t>
      </w:r>
      <w:hyperlink r:id="rId18" w:tgtFrame="_blank" w:tooltip="to EUR-Lex" w:history="1">
        <w:r>
          <w:rPr>
            <w:rFonts w:ascii="Arial" w:eastAsia="Arial" w:hAnsi="Arial" w:cs="Arial"/>
            <w:color w:val="0000EE"/>
            <w:sz w:val="21"/>
            <w:szCs w:val="21"/>
            <w:u w:val="single" w:color="0000EE"/>
          </w:rPr>
          <w:t>Uredbe (EU) št. 1306/2013</w:t>
        </w:r>
      </w:hyperlink>
      <w:r>
        <w:rPr>
          <w:rFonts w:ascii="Arial" w:eastAsia="Arial" w:hAnsi="Arial" w:cs="Arial"/>
          <w:sz w:val="21"/>
          <w:szCs w:val="21"/>
        </w:rPr>
        <w:t xml:space="preserve"> Evropskega parlamenta in Sveta glede integriranega administrativnega in kontrolnega sistema, pogojev za zavrnitev ali ukinitev plačil in za upravne kazni, ki se uporabljajo za neposredna plačila, podporo za razvoj podeželja in navzkrižno skladnost (UL L št. 181 z dne 20. 6. 2014, str. 48), zadnjič spremenjene z </w:t>
      </w:r>
      <w:hyperlink r:id="rId40" w:tgtFrame="_blank" w:tooltip="to EUR-Lex" w:history="1">
        <w:r>
          <w:rPr>
            <w:rFonts w:ascii="Arial" w:eastAsia="Arial" w:hAnsi="Arial" w:cs="Arial"/>
            <w:color w:val="0000EE"/>
            <w:sz w:val="21"/>
            <w:szCs w:val="21"/>
            <w:u w:val="single" w:color="0000EE"/>
          </w:rPr>
          <w:t>Delegirano uredbo Komisije (EU) 2021/1418</w:t>
        </w:r>
      </w:hyperlink>
      <w:r>
        <w:rPr>
          <w:rFonts w:ascii="Arial" w:eastAsia="Arial" w:hAnsi="Arial" w:cs="Arial"/>
          <w:sz w:val="21"/>
          <w:szCs w:val="21"/>
        </w:rPr>
        <w:t xml:space="preserve"> z dne 23. junija 2021 o spremembi </w:t>
      </w:r>
      <w:hyperlink r:id="rId39" w:tgtFrame="_blank" w:tooltip="to EUR-Lex" w:history="1">
        <w:r>
          <w:rPr>
            <w:rFonts w:ascii="Arial" w:eastAsia="Arial" w:hAnsi="Arial" w:cs="Arial"/>
            <w:color w:val="0000EE"/>
            <w:sz w:val="21"/>
            <w:szCs w:val="21"/>
            <w:u w:val="single" w:color="0000EE"/>
          </w:rPr>
          <w:t>Delegirane uredbe (EU) št. 640/2014</w:t>
        </w:r>
      </w:hyperlink>
      <w:r>
        <w:rPr>
          <w:rFonts w:ascii="Arial" w:eastAsia="Arial" w:hAnsi="Arial" w:cs="Arial"/>
          <w:sz w:val="21"/>
          <w:szCs w:val="21"/>
        </w:rPr>
        <w:t xml:space="preserve"> glede pravil o kaznih v okviru shem pomoči za živali ali ukrepov podpore na žival (UL L št. 305 z dne 31. 8. 2021, str. 6), (v nadaljnjem besedilu: </w:t>
      </w:r>
      <w:hyperlink r:id="rId41" w:tgtFrame="_blank" w:tooltip="to EUR-Lex" w:history="1">
        <w:r>
          <w:rPr>
            <w:rFonts w:ascii="Arial" w:eastAsia="Arial" w:hAnsi="Arial" w:cs="Arial"/>
            <w:color w:val="0000EE"/>
            <w:sz w:val="21"/>
            <w:szCs w:val="21"/>
            <w:u w:val="single" w:color="0000EE"/>
          </w:rPr>
          <w:t>Uredba 640/2014/EU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14.   </w:t>
      </w:r>
      <w:hyperlink r:id="rId42" w:tgtFrame="_blank" w:tooltip="to EUR-Lex" w:history="1">
        <w:r>
          <w:rPr>
            <w:rFonts w:ascii="Arial" w:eastAsia="Arial" w:hAnsi="Arial" w:cs="Arial"/>
            <w:color w:val="0000EE"/>
            <w:sz w:val="21"/>
            <w:szCs w:val="21"/>
            <w:u w:val="single" w:color="0000EE"/>
          </w:rPr>
          <w:t>Izvedbene uredbe Komisije (EU) št. 763/2014</w:t>
        </w:r>
      </w:hyperlink>
      <w:r>
        <w:rPr>
          <w:rFonts w:ascii="Arial" w:eastAsia="Arial" w:hAnsi="Arial" w:cs="Arial"/>
          <w:sz w:val="21"/>
          <w:szCs w:val="21"/>
        </w:rPr>
        <w:t xml:space="preserve"> z dne 11. julija 2014 o določitvi pravil za uporabo </w:t>
      </w:r>
      <w:hyperlink r:id="rId33" w:tgtFrame="_blank" w:tooltip="to EUR-Lex" w:history="1">
        <w:r>
          <w:rPr>
            <w:rFonts w:ascii="Arial" w:eastAsia="Arial" w:hAnsi="Arial" w:cs="Arial"/>
            <w:color w:val="0000EE"/>
            <w:sz w:val="21"/>
            <w:szCs w:val="21"/>
            <w:u w:val="single" w:color="0000EE"/>
          </w:rPr>
          <w:t>Uredbe (EU) št. 508/2014</w:t>
        </w:r>
      </w:hyperlink>
      <w:r>
        <w:rPr>
          <w:rFonts w:ascii="Arial" w:eastAsia="Arial" w:hAnsi="Arial" w:cs="Arial"/>
          <w:sz w:val="21"/>
          <w:szCs w:val="21"/>
        </w:rPr>
        <w:t xml:space="preserve"> Evropskega parlamenta in Sveta o Evropskem skladu za pomorstvo in ribištvo glede tehničnih značilnosti ukrepov informiranja in obveščanja ter navodil za oblikovanje simbola Unije (UL L št. 209 z dne 16. 7. 2014, str. 1; v nadaljnjem besedilu: </w:t>
      </w:r>
      <w:hyperlink r:id="rId43" w:tgtFrame="_blank" w:tooltip="to EUR-Lex" w:history="1">
        <w:r>
          <w:rPr>
            <w:rFonts w:ascii="Arial" w:eastAsia="Arial" w:hAnsi="Arial" w:cs="Arial"/>
            <w:color w:val="0000EE"/>
            <w:sz w:val="21"/>
            <w:szCs w:val="21"/>
            <w:u w:val="single" w:color="0000EE"/>
          </w:rPr>
          <w:t>Uredba 763/2014/EU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15.   </w:t>
      </w:r>
      <w:hyperlink r:id="rId44" w:tgtFrame="_blank" w:tooltip="to EUR-Lex" w:history="1">
        <w:r>
          <w:rPr>
            <w:rFonts w:ascii="Arial" w:eastAsia="Arial" w:hAnsi="Arial" w:cs="Arial"/>
            <w:color w:val="0000EE"/>
            <w:sz w:val="21"/>
            <w:szCs w:val="21"/>
            <w:u w:val="single" w:color="0000EE"/>
          </w:rPr>
          <w:t>Izvedbene uredbe Komisije (EU) št. 771/2014</w:t>
        </w:r>
      </w:hyperlink>
      <w:r>
        <w:rPr>
          <w:rFonts w:ascii="Arial" w:eastAsia="Arial" w:hAnsi="Arial" w:cs="Arial"/>
          <w:sz w:val="21"/>
          <w:szCs w:val="21"/>
        </w:rPr>
        <w:t xml:space="preserve"> z dne 14. julija 2014 o pravilih v skladu z </w:t>
      </w:r>
      <w:hyperlink r:id="rId33" w:tgtFrame="_blank" w:tooltip="to EUR-Lex" w:history="1">
        <w:r>
          <w:rPr>
            <w:rFonts w:ascii="Arial" w:eastAsia="Arial" w:hAnsi="Arial" w:cs="Arial"/>
            <w:color w:val="0000EE"/>
            <w:sz w:val="21"/>
            <w:szCs w:val="21"/>
            <w:u w:val="single" w:color="0000EE"/>
          </w:rPr>
          <w:t>Uredbo (EU) št. 508/2014</w:t>
        </w:r>
      </w:hyperlink>
      <w:r>
        <w:rPr>
          <w:rFonts w:ascii="Arial" w:eastAsia="Arial" w:hAnsi="Arial" w:cs="Arial"/>
          <w:sz w:val="21"/>
          <w:szCs w:val="21"/>
        </w:rPr>
        <w:t xml:space="preserve"> Evropskega parlamenta in Sveta o Evropskem skladu za pomorstvo in ribištvo v zvezi z vzorcem za operativne programe, strukturo načrtov za nadomestilo dodatnih stroškov, ki jih imajo gospodarski subjekti pri ribolovu, gojenju, predelavi in trženju nekaterih ribiških proizvodov in proizvodov iz akvakulture iz najbolj oddaljenih regij, vzorcem za pošiljanje finančnih podatkov, vsebino poročil o predhodnem vrednotenju in minimalnimi zahtevami za načrt vrednotenja, ki jih je treba predložiti v okviru Evropskega sklada za pomorstvo in ribištvo (UL L št. 209 z dne 16. 7. 2014, str. 20), zadnjič spremenjene z </w:t>
      </w:r>
      <w:hyperlink r:id="rId45" w:tgtFrame="_blank" w:tooltip="to EUR-Lex" w:history="1">
        <w:r>
          <w:rPr>
            <w:rFonts w:ascii="Arial" w:eastAsia="Arial" w:hAnsi="Arial" w:cs="Arial"/>
            <w:color w:val="0000EE"/>
            <w:sz w:val="21"/>
            <w:szCs w:val="21"/>
            <w:u w:val="single" w:color="0000EE"/>
          </w:rPr>
          <w:t>Izvedbeno uredbo Komisije (EU) 2020/1027</w:t>
        </w:r>
      </w:hyperlink>
      <w:r>
        <w:rPr>
          <w:rFonts w:ascii="Arial" w:eastAsia="Arial" w:hAnsi="Arial" w:cs="Arial"/>
          <w:sz w:val="21"/>
          <w:szCs w:val="21"/>
        </w:rPr>
        <w:t xml:space="preserve"> z dne 14. julija 2020 o spremembi </w:t>
      </w:r>
      <w:hyperlink r:id="rId44" w:tgtFrame="_blank" w:tooltip="to EUR-Lex" w:history="1">
        <w:r>
          <w:rPr>
            <w:rFonts w:ascii="Arial" w:eastAsia="Arial" w:hAnsi="Arial" w:cs="Arial"/>
            <w:color w:val="0000EE"/>
            <w:sz w:val="21"/>
            <w:szCs w:val="21"/>
            <w:u w:val="single" w:color="0000EE"/>
          </w:rPr>
          <w:t>izvedbenih uredb (EU) št. 771/2014</w:t>
        </w:r>
      </w:hyperlink>
      <w:r>
        <w:rPr>
          <w:rFonts w:ascii="Arial" w:eastAsia="Arial" w:hAnsi="Arial" w:cs="Arial"/>
          <w:sz w:val="21"/>
          <w:szCs w:val="21"/>
        </w:rPr>
        <w:t xml:space="preserve">, </w:t>
      </w:r>
      <w:hyperlink r:id="rId46" w:tgtFrame="_blank" w:tooltip="to EUR-Lex" w:history="1">
        <w:r>
          <w:rPr>
            <w:rFonts w:ascii="Arial" w:eastAsia="Arial" w:hAnsi="Arial" w:cs="Arial"/>
            <w:color w:val="0000EE"/>
            <w:sz w:val="21"/>
            <w:szCs w:val="21"/>
            <w:u w:val="single" w:color="0000EE"/>
          </w:rPr>
          <w:t>(EU) št. 1242/2014</w:t>
        </w:r>
      </w:hyperlink>
      <w:r>
        <w:rPr>
          <w:rFonts w:ascii="Arial" w:eastAsia="Arial" w:hAnsi="Arial" w:cs="Arial"/>
          <w:sz w:val="21"/>
          <w:szCs w:val="21"/>
        </w:rPr>
        <w:t xml:space="preserve"> in </w:t>
      </w:r>
      <w:hyperlink r:id="rId47" w:tgtFrame="_blank" w:tooltip="to EUR-Lex" w:history="1">
        <w:r>
          <w:rPr>
            <w:rFonts w:ascii="Arial" w:eastAsia="Arial" w:hAnsi="Arial" w:cs="Arial"/>
            <w:color w:val="0000EE"/>
            <w:sz w:val="21"/>
            <w:szCs w:val="21"/>
            <w:u w:val="single" w:color="0000EE"/>
          </w:rPr>
          <w:t>(EU) št. 1243/2014</w:t>
        </w:r>
      </w:hyperlink>
      <w:r>
        <w:rPr>
          <w:rFonts w:ascii="Arial" w:eastAsia="Arial" w:hAnsi="Arial" w:cs="Arial"/>
          <w:sz w:val="21"/>
          <w:szCs w:val="21"/>
        </w:rPr>
        <w:t xml:space="preserve"> v zvezi z izvajanjem in spremljanjem posebnih ukrepov za ublažitev posledic izbruha COVID-19 v sektorju ribištva in akvakulture (UL L št. 227 z dne 16. 7. 2020, str. 1), (v nadaljnjem besedilu: </w:t>
      </w:r>
      <w:hyperlink r:id="rId48" w:tgtFrame="_blank" w:tooltip="to EUR-Lex" w:history="1">
        <w:r>
          <w:rPr>
            <w:rFonts w:ascii="Arial" w:eastAsia="Arial" w:hAnsi="Arial" w:cs="Arial"/>
            <w:color w:val="0000EE"/>
            <w:sz w:val="21"/>
            <w:szCs w:val="21"/>
            <w:u w:val="single" w:color="0000EE"/>
          </w:rPr>
          <w:t>Uredba 771/2014/EU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16.   </w:t>
      </w:r>
      <w:hyperlink r:id="rId49" w:tgtFrame="_blank" w:tooltip="to EUR-Lex" w:history="1">
        <w:r>
          <w:rPr>
            <w:rFonts w:ascii="Arial" w:eastAsia="Arial" w:hAnsi="Arial" w:cs="Arial"/>
            <w:color w:val="0000EE"/>
            <w:sz w:val="21"/>
            <w:szCs w:val="21"/>
            <w:u w:val="single" w:color="0000EE"/>
          </w:rPr>
          <w:t>Izvedbene uredbe Komisije (EU) št. 772/2014</w:t>
        </w:r>
      </w:hyperlink>
      <w:r>
        <w:rPr>
          <w:rFonts w:ascii="Arial" w:eastAsia="Arial" w:hAnsi="Arial" w:cs="Arial"/>
          <w:sz w:val="21"/>
          <w:szCs w:val="21"/>
        </w:rPr>
        <w:t xml:space="preserve"> z dne 14. julija 2014 o določitvi pravil o intenzivnosti javne pomoči, ki jih je treba uporabljati za skupne upravičene odhodke za nekatere operacije, ki se financirajo v okviru Evropskega sklada za pomorstvo in ribištvo (UL L št. 209 z dne 16. 7. 2014, str. 47);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17.      </w:t>
      </w:r>
      <w:hyperlink r:id="rId50" w:tgtFrame="_blank" w:tooltip="to EUR-Lex" w:history="1">
        <w:r>
          <w:rPr>
            <w:rFonts w:ascii="Arial" w:eastAsia="Arial" w:hAnsi="Arial" w:cs="Arial"/>
            <w:color w:val="0000EE"/>
            <w:sz w:val="21"/>
            <w:szCs w:val="21"/>
            <w:u w:val="single" w:color="0000EE"/>
          </w:rPr>
          <w:t>Izvedbene uredbe Komisije (EU) št. 808/2014</w:t>
        </w:r>
      </w:hyperlink>
      <w:r>
        <w:rPr>
          <w:rFonts w:ascii="Arial" w:eastAsia="Arial" w:hAnsi="Arial" w:cs="Arial"/>
          <w:sz w:val="21"/>
          <w:szCs w:val="21"/>
        </w:rPr>
        <w:t xml:space="preserve"> z dne 17. julija 2014 o določitvi pravil za uporabo Uredbe (EU) št. 1305/2013 Evropskega parlamenta in Sveta o podpori za razvoj podeželja iz Evropskega kmetijskega sklada za razvoj podeželja (EKSRP) (UL L št. 227 z dne 31. 7. 2014, str. 18), zadnjič spremenjene z Izvedbeno uredbo Komisije (EU) 2022/2531 z dne 1. decembra 2022 o razveljavitvi Izvedbene </w:t>
      </w:r>
      <w:hyperlink r:id="rId51" w:tgtFrame="_blank" w:tooltip="to EUR-Lex" w:history="1">
        <w:r>
          <w:rPr>
            <w:rFonts w:ascii="Arial" w:eastAsia="Arial" w:hAnsi="Arial" w:cs="Arial"/>
            <w:color w:val="0000EE"/>
            <w:sz w:val="21"/>
            <w:szCs w:val="21"/>
            <w:u w:val="single" w:color="0000EE"/>
          </w:rPr>
          <w:t>uredbe (EU) št. 808/2014</w:t>
        </w:r>
      </w:hyperlink>
      <w:r>
        <w:rPr>
          <w:rFonts w:ascii="Arial" w:eastAsia="Arial" w:hAnsi="Arial" w:cs="Arial"/>
          <w:sz w:val="21"/>
          <w:szCs w:val="21"/>
        </w:rPr>
        <w:t xml:space="preserve"> o določitvi pravil za uporabo Uredbe (EU) št. 1305/2013 Evropskega parlamenta in Sveta o podpori za razvoj podeželja iz Evropskega kmetijskega sklada za razvoj podeželja (EKSRP) (UL L št. 328 z dne 22. 12. 2022, str. 78), (v nadaljnjem besedilu: </w:t>
      </w:r>
      <w:hyperlink r:id="rId51" w:tgtFrame="_blank" w:tooltip="to EUR-Lex" w:history="1">
        <w:r>
          <w:rPr>
            <w:rFonts w:ascii="Arial" w:eastAsia="Arial" w:hAnsi="Arial" w:cs="Arial"/>
            <w:color w:val="0000EE"/>
            <w:sz w:val="21"/>
            <w:szCs w:val="21"/>
            <w:u w:val="single" w:color="0000EE"/>
          </w:rPr>
          <w:t>Uredba 808/2014/EU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18.      </w:t>
      </w:r>
      <w:hyperlink r:id="rId52" w:tgtFrame="_blank" w:tooltip="to EUR-Lex" w:history="1">
        <w:r>
          <w:rPr>
            <w:rFonts w:ascii="Arial" w:eastAsia="Arial" w:hAnsi="Arial" w:cs="Arial"/>
            <w:color w:val="0000EE"/>
            <w:sz w:val="21"/>
            <w:szCs w:val="21"/>
            <w:u w:val="single" w:color="0000EE"/>
          </w:rPr>
          <w:t>Izvedbene uredbe Komisije (EU) št. 809/2014</w:t>
        </w:r>
      </w:hyperlink>
      <w:r>
        <w:rPr>
          <w:rFonts w:ascii="Arial" w:eastAsia="Arial" w:hAnsi="Arial" w:cs="Arial"/>
          <w:sz w:val="21"/>
          <w:szCs w:val="21"/>
        </w:rPr>
        <w:t xml:space="preserve"> z dne 17. julija 2014 o pravilih za uporabo </w:t>
      </w:r>
      <w:hyperlink r:id="rId18" w:tgtFrame="_blank" w:tooltip="to EUR-Lex" w:history="1">
        <w:r>
          <w:rPr>
            <w:rFonts w:ascii="Arial" w:eastAsia="Arial" w:hAnsi="Arial" w:cs="Arial"/>
            <w:color w:val="0000EE"/>
            <w:sz w:val="21"/>
            <w:szCs w:val="21"/>
            <w:u w:val="single" w:color="0000EE"/>
          </w:rPr>
          <w:t>Uredbe (EU) št. 1306/2013</w:t>
        </w:r>
      </w:hyperlink>
      <w:r>
        <w:rPr>
          <w:rFonts w:ascii="Arial" w:eastAsia="Arial" w:hAnsi="Arial" w:cs="Arial"/>
          <w:sz w:val="21"/>
          <w:szCs w:val="21"/>
        </w:rPr>
        <w:t xml:space="preserve"> Evropskega parlamenta in Sveta v zvezi z integriranim administrativnim in kontrolnim sistemom, ukrepi za razvoj podeželja in navzkrižno skladnostjo (UL L št. 227 z dne 31. 7. 2014, str. 69), zadnjič spremenjene z Izvedbeno uredbo Komisije (EU) 2022/1227 z dne 15. julija 2022 o spremembi izvedbenih </w:t>
      </w:r>
      <w:hyperlink r:id="rId51" w:tgtFrame="_blank" w:tooltip="to EUR-Lex" w:history="1">
        <w:r>
          <w:rPr>
            <w:rFonts w:ascii="Arial" w:eastAsia="Arial" w:hAnsi="Arial" w:cs="Arial"/>
            <w:color w:val="0000EE"/>
            <w:sz w:val="21"/>
            <w:szCs w:val="21"/>
            <w:u w:val="single" w:color="0000EE"/>
          </w:rPr>
          <w:t>uredb (EU) št. 808/2014</w:t>
        </w:r>
      </w:hyperlink>
      <w:r>
        <w:rPr>
          <w:rFonts w:ascii="Arial" w:eastAsia="Arial" w:hAnsi="Arial" w:cs="Arial"/>
          <w:sz w:val="21"/>
          <w:szCs w:val="21"/>
        </w:rPr>
        <w:t xml:space="preserve"> in </w:t>
      </w:r>
      <w:hyperlink r:id="rId53" w:tgtFrame="_blank" w:tooltip="to EUR-Lex" w:history="1">
        <w:r>
          <w:rPr>
            <w:rFonts w:ascii="Arial" w:eastAsia="Arial" w:hAnsi="Arial" w:cs="Arial"/>
            <w:color w:val="0000EE"/>
            <w:sz w:val="21"/>
            <w:szCs w:val="21"/>
            <w:u w:val="single" w:color="0000EE"/>
          </w:rPr>
          <w:t>(EU) št. 809/2014</w:t>
        </w:r>
      </w:hyperlink>
      <w:r>
        <w:rPr>
          <w:rFonts w:ascii="Arial" w:eastAsia="Arial" w:hAnsi="Arial" w:cs="Arial"/>
          <w:sz w:val="21"/>
          <w:szCs w:val="21"/>
        </w:rPr>
        <w:t xml:space="preserve"> glede posebnega ukrepa za zagotovitev izjemne začasne podpore v okviru Evropskega kmetijskega sklada za razvoj podeželja (EKSRP) v odziv na vpliv ruske invazije na Ukrajino (UL L št. 189 z dne 18. 7. 2022, str. 12), (v nadaljnjem besedilu: Uredba 809/2014/EU);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19.   </w:t>
      </w:r>
      <w:hyperlink r:id="rId54" w:tgtFrame="_blank" w:tooltip="to EUR-Lex" w:history="1">
        <w:r>
          <w:rPr>
            <w:rFonts w:ascii="Arial" w:eastAsia="Arial" w:hAnsi="Arial" w:cs="Arial"/>
            <w:color w:val="0000EE"/>
            <w:sz w:val="21"/>
            <w:szCs w:val="21"/>
            <w:u w:val="single" w:color="0000EE"/>
          </w:rPr>
          <w:t>Izvedbene uredbe Komisije (EU) št. 821/2014</w:t>
        </w:r>
      </w:hyperlink>
      <w:r>
        <w:rPr>
          <w:rFonts w:ascii="Arial" w:eastAsia="Arial" w:hAnsi="Arial" w:cs="Arial"/>
          <w:sz w:val="21"/>
          <w:szCs w:val="21"/>
        </w:rPr>
        <w:t xml:space="preserve"> z dne 28. julija 2014 o pravilih za uporabo </w:t>
      </w:r>
      <w:hyperlink r:id="rId10" w:tgtFrame="_blank" w:tooltip="to EUR-Lex" w:history="1">
        <w:r>
          <w:rPr>
            <w:rFonts w:ascii="Arial" w:eastAsia="Arial" w:hAnsi="Arial" w:cs="Arial"/>
            <w:color w:val="0000EE"/>
            <w:sz w:val="21"/>
            <w:szCs w:val="21"/>
            <w:u w:val="single" w:color="0000EE"/>
          </w:rPr>
          <w:t>Uredbe (EU) št. 1303/2013</w:t>
        </w:r>
      </w:hyperlink>
      <w:r>
        <w:rPr>
          <w:rFonts w:ascii="Arial" w:eastAsia="Arial" w:hAnsi="Arial" w:cs="Arial"/>
          <w:sz w:val="21"/>
          <w:szCs w:val="21"/>
        </w:rPr>
        <w:t xml:space="preserve"> Evropskega parlamenta in Sveta glede podrobne ureditve prenosa in upravljanja prispevkov iz programov, poročanja o finančnih instrumentih, tehničnih značilnostih ukrepov obveščanja in komuniciranja za operacije ter sistema za beleženje in shranjevanje podatkov (UL L št. 223 z dne 29. 7. 2014, str. 7), zadnjič spremenjene z </w:t>
      </w:r>
      <w:hyperlink r:id="rId55" w:tgtFrame="_blank" w:tooltip="to EUR-Lex" w:history="1">
        <w:r>
          <w:rPr>
            <w:rFonts w:ascii="Arial" w:eastAsia="Arial" w:hAnsi="Arial" w:cs="Arial"/>
            <w:color w:val="0000EE"/>
            <w:sz w:val="21"/>
            <w:szCs w:val="21"/>
            <w:u w:val="single" w:color="0000EE"/>
          </w:rPr>
          <w:t>Izvedbeno uredbo Komisije (EU) 2019/255</w:t>
        </w:r>
      </w:hyperlink>
      <w:r>
        <w:rPr>
          <w:rFonts w:ascii="Arial" w:eastAsia="Arial" w:hAnsi="Arial" w:cs="Arial"/>
          <w:sz w:val="21"/>
          <w:szCs w:val="21"/>
        </w:rPr>
        <w:t xml:space="preserve"> z dne 13. februarja 2019 o spremembi </w:t>
      </w:r>
      <w:hyperlink r:id="rId54" w:tgtFrame="_blank" w:tooltip="to EUR-Lex" w:history="1">
        <w:r>
          <w:rPr>
            <w:rFonts w:ascii="Arial" w:eastAsia="Arial" w:hAnsi="Arial" w:cs="Arial"/>
            <w:color w:val="0000EE"/>
            <w:sz w:val="21"/>
            <w:szCs w:val="21"/>
            <w:u w:val="single" w:color="0000EE"/>
          </w:rPr>
          <w:t>Izvedbene uredbe Komisije (EU) št. 821/2014</w:t>
        </w:r>
      </w:hyperlink>
      <w:r>
        <w:rPr>
          <w:rFonts w:ascii="Arial" w:eastAsia="Arial" w:hAnsi="Arial" w:cs="Arial"/>
          <w:sz w:val="21"/>
          <w:szCs w:val="21"/>
        </w:rPr>
        <w:t xml:space="preserve"> o pravilih za uporabo </w:t>
      </w:r>
      <w:hyperlink r:id="rId10" w:tgtFrame="_blank" w:tooltip="to EUR-Lex" w:history="1">
        <w:r>
          <w:rPr>
            <w:rFonts w:ascii="Arial" w:eastAsia="Arial" w:hAnsi="Arial" w:cs="Arial"/>
            <w:color w:val="0000EE"/>
            <w:sz w:val="21"/>
            <w:szCs w:val="21"/>
            <w:u w:val="single" w:color="0000EE"/>
          </w:rPr>
          <w:t>Uredbe (EU) št. 1303/2013</w:t>
        </w:r>
      </w:hyperlink>
      <w:r>
        <w:rPr>
          <w:rFonts w:ascii="Arial" w:eastAsia="Arial" w:hAnsi="Arial" w:cs="Arial"/>
          <w:sz w:val="21"/>
          <w:szCs w:val="21"/>
        </w:rPr>
        <w:t xml:space="preserve"> Evropskega parlamenta in Sveta glede podrobne ureditve prenosa in upravljanja prispevkov iz programov, poročanja o finančnih instrumentih, tehničnih značilnosti ukrepov obveščanja in komuniciranja za operacije ter sistema za beleženje in shranjevanje podatkov (UL L št. 43 z dne 14. 2. 2019, str. 15);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20.      </w:t>
      </w:r>
      <w:hyperlink r:id="rId56" w:tgtFrame="_blank" w:tooltip="to EUR-Lex" w:history="1">
        <w:r>
          <w:rPr>
            <w:rFonts w:ascii="Arial" w:eastAsia="Arial" w:hAnsi="Arial" w:cs="Arial"/>
            <w:color w:val="0000EE"/>
            <w:sz w:val="21"/>
            <w:szCs w:val="21"/>
            <w:u w:val="single" w:color="0000EE"/>
          </w:rPr>
          <w:t>Delegirane uredbe Komisije (EU) št. 907/2014</w:t>
        </w:r>
      </w:hyperlink>
      <w:r>
        <w:rPr>
          <w:rFonts w:ascii="Arial" w:eastAsia="Arial" w:hAnsi="Arial" w:cs="Arial"/>
          <w:sz w:val="21"/>
          <w:szCs w:val="21"/>
        </w:rPr>
        <w:t xml:space="preserve"> z dne 11. marca 2014 o dopolnitvi </w:t>
      </w:r>
      <w:hyperlink r:id="rId18" w:tgtFrame="_blank" w:tooltip="to EUR-Lex" w:history="1">
        <w:r>
          <w:rPr>
            <w:rFonts w:ascii="Arial" w:eastAsia="Arial" w:hAnsi="Arial" w:cs="Arial"/>
            <w:color w:val="0000EE"/>
            <w:sz w:val="21"/>
            <w:szCs w:val="21"/>
            <w:u w:val="single" w:color="0000EE"/>
          </w:rPr>
          <w:t>Uredbe (EU) št. 1306/2013</w:t>
        </w:r>
      </w:hyperlink>
      <w:r>
        <w:rPr>
          <w:rFonts w:ascii="Arial" w:eastAsia="Arial" w:hAnsi="Arial" w:cs="Arial"/>
          <w:sz w:val="21"/>
          <w:szCs w:val="21"/>
        </w:rPr>
        <w:t xml:space="preserve"> Evropskega parlamenta in Sveta v zvezi s plačilnimi agencijami in ostalimi organi, finančnim upravljanjem, potrditvijo obračunov, varščinami in uporabo eura (UL L št. 255 z dne 28. 8. 2014, str. 18), zadnjič spremenjene z Delegirano uredbo Komisije (EU) 2023/2835 z dne 10. oktobra 2023 o dopolnitvi Uredbe (EU) št. 1308/2013 Evropskega parlamenta in Sveta v zvezi s pravili o uvozu v sektorjih riža, žit, sladkorja in hmelja ter razveljavitvi </w:t>
      </w:r>
      <w:hyperlink r:id="rId57" w:tgtFrame="_blank" w:tooltip="to EUR-Lex" w:history="1">
        <w:r>
          <w:rPr>
            <w:rFonts w:ascii="Arial" w:eastAsia="Arial" w:hAnsi="Arial" w:cs="Arial"/>
            <w:color w:val="0000EE"/>
            <w:sz w:val="21"/>
            <w:szCs w:val="21"/>
            <w:u w:val="single" w:color="0000EE"/>
          </w:rPr>
          <w:t>uredb Komisije (ES) št. 3330/94</w:t>
        </w:r>
      </w:hyperlink>
      <w:r>
        <w:rPr>
          <w:rFonts w:ascii="Arial" w:eastAsia="Arial" w:hAnsi="Arial" w:cs="Arial"/>
          <w:sz w:val="21"/>
          <w:szCs w:val="21"/>
        </w:rPr>
        <w:t xml:space="preserve">, </w:t>
      </w:r>
      <w:hyperlink r:id="rId58" w:tgtFrame="_blank" w:tooltip="to EUR-Lex" w:history="1">
        <w:r>
          <w:rPr>
            <w:rFonts w:ascii="Arial" w:eastAsia="Arial" w:hAnsi="Arial" w:cs="Arial"/>
            <w:color w:val="0000EE"/>
            <w:sz w:val="21"/>
            <w:szCs w:val="21"/>
            <w:u w:val="single" w:color="0000EE"/>
          </w:rPr>
          <w:t>(ES) št. 2810/95</w:t>
        </w:r>
      </w:hyperlink>
      <w:r>
        <w:rPr>
          <w:rFonts w:ascii="Arial" w:eastAsia="Arial" w:hAnsi="Arial" w:cs="Arial"/>
          <w:sz w:val="21"/>
          <w:szCs w:val="21"/>
        </w:rPr>
        <w:t xml:space="preserve">, (ES) št. 951/2006, (ES) št. 972/2006, (ES) št. 504/2007, (ES) št. 1375/2007, (ES) št. 402/2008, (ES) št. 1295/2008, (ES) št. 1312/2008, (EU) št. 642/2010, (EGS) št. 1361/76, (EGS) št. 1842/81, (EGS) št. 3556/87, (EGS) št. 3846/87, (EGS) št. 815/89, (ES) št. 765/2002, (ES) št. 1993/2005, (ES) št. 1670/2006, (ES) št. 1731/2006, (ES) št. 1741/2006, (ES) št. 433/2007, (ES) št. 1359/2007, (ES) št. 1454/2007, (ES) št. 508/2008, (ES) št. 903/2008, (ES) št. 147/2009, (ES) št. 612/2009, (EU) št. 817/2010, (EU) št. 1178/2010 in (EU) št. 90/2011 ter </w:t>
      </w:r>
      <w:hyperlink r:id="rId59" w:tgtFrame="_blank" w:tooltip="to EUR-Lex" w:history="1">
        <w:r>
          <w:rPr>
            <w:rFonts w:ascii="Arial" w:eastAsia="Arial" w:hAnsi="Arial" w:cs="Arial"/>
            <w:color w:val="0000EE"/>
            <w:sz w:val="21"/>
            <w:szCs w:val="21"/>
            <w:u w:val="single" w:color="0000EE"/>
          </w:rPr>
          <w:t>Izvedbene uredbe Komisije (EU) št. 1373/2013</w:t>
        </w:r>
      </w:hyperlink>
      <w:r>
        <w:rPr>
          <w:rFonts w:ascii="Arial" w:eastAsia="Arial" w:hAnsi="Arial" w:cs="Arial"/>
          <w:sz w:val="21"/>
          <w:szCs w:val="21"/>
        </w:rPr>
        <w:t xml:space="preserve"> (UL L št. 2023/2835 z dne 21. 12. 2023), (v nadaljnjem besedilu: </w:t>
      </w:r>
      <w:hyperlink r:id="rId60" w:tgtFrame="_blank" w:tooltip="to EUR-Lex" w:history="1">
        <w:r>
          <w:rPr>
            <w:rFonts w:ascii="Arial" w:eastAsia="Arial" w:hAnsi="Arial" w:cs="Arial"/>
            <w:color w:val="0000EE"/>
            <w:sz w:val="21"/>
            <w:szCs w:val="21"/>
            <w:u w:val="single" w:color="0000EE"/>
          </w:rPr>
          <w:t>Uredba 907/2014/EU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21.      </w:t>
      </w:r>
      <w:hyperlink r:id="rId61" w:tgtFrame="_blank" w:tooltip="to EUR-Lex" w:history="1">
        <w:r>
          <w:rPr>
            <w:rFonts w:ascii="Arial" w:eastAsia="Arial" w:hAnsi="Arial" w:cs="Arial"/>
            <w:color w:val="0000EE"/>
            <w:sz w:val="21"/>
            <w:szCs w:val="21"/>
            <w:u w:val="single" w:color="0000EE"/>
          </w:rPr>
          <w:t>Izvedbene uredbe Komisije (EU) št. 908/2014</w:t>
        </w:r>
      </w:hyperlink>
      <w:r>
        <w:rPr>
          <w:rFonts w:ascii="Arial" w:eastAsia="Arial" w:hAnsi="Arial" w:cs="Arial"/>
          <w:sz w:val="21"/>
          <w:szCs w:val="21"/>
        </w:rPr>
        <w:t xml:space="preserve"> z dne 6. avgusta 2014 o pravilih za uporabo Uredbe (EU) št. 1306/2013 Evropskega parlamenta in Sveta v zvezi s plačilnimi agencijami in drugimi organi, finančnim upravljanjem, potrjevanjem obračunov, pravili o kontrolah, varščinami in preglednostjo (UL L št. 255 z dne 28. 8. 2014, str. 59), zadnjič spremenjene z </w:t>
      </w:r>
      <w:hyperlink r:id="rId62" w:tgtFrame="_blank" w:tooltip="to EUR-Lex" w:history="1">
        <w:r>
          <w:rPr>
            <w:rFonts w:ascii="Arial" w:eastAsia="Arial" w:hAnsi="Arial" w:cs="Arial"/>
            <w:color w:val="0000EE"/>
            <w:sz w:val="21"/>
            <w:szCs w:val="21"/>
            <w:u w:val="single" w:color="0000EE"/>
          </w:rPr>
          <w:t>Izvedbeno uredba Komisije (EU) 2022/128</w:t>
        </w:r>
      </w:hyperlink>
      <w:r>
        <w:rPr>
          <w:rFonts w:ascii="Arial" w:eastAsia="Arial" w:hAnsi="Arial" w:cs="Arial"/>
          <w:sz w:val="21"/>
          <w:szCs w:val="21"/>
        </w:rPr>
        <w:t xml:space="preserve"> z dne 21. decembra 2021 o pravilih za uporabo Uredbe (EU) 2021/2116 Evropskega parlamenta in Sveta v zvezi s plačilnimi agencijami in drugimi organi, finančnim upravljanjem, potrditvijo obračunov, pregledi, varščinami in preglednostjo (UL L št. 20 z dne 31. 1. 2022, str. 131);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22.   </w:t>
      </w:r>
      <w:hyperlink r:id="rId63" w:tgtFrame="_blank" w:tooltip="to EUR-Lex" w:history="1">
        <w:r>
          <w:rPr>
            <w:rFonts w:ascii="Arial" w:eastAsia="Arial" w:hAnsi="Arial" w:cs="Arial"/>
            <w:color w:val="0000EE"/>
            <w:sz w:val="21"/>
            <w:szCs w:val="21"/>
            <w:u w:val="single" w:color="0000EE"/>
          </w:rPr>
          <w:t>Izvedbene uredbe Komisije (EU) št. 1011/2014</w:t>
        </w:r>
      </w:hyperlink>
      <w:r>
        <w:rPr>
          <w:rFonts w:ascii="Arial" w:eastAsia="Arial" w:hAnsi="Arial" w:cs="Arial"/>
          <w:sz w:val="21"/>
          <w:szCs w:val="21"/>
        </w:rPr>
        <w:t xml:space="preserve"> z dne 22. septembra 2014 o podrobnih pravilih za izvajanje </w:t>
      </w:r>
      <w:hyperlink r:id="rId10" w:tgtFrame="_blank" w:tooltip="to EUR-Lex" w:history="1">
        <w:r>
          <w:rPr>
            <w:rFonts w:ascii="Arial" w:eastAsia="Arial" w:hAnsi="Arial" w:cs="Arial"/>
            <w:color w:val="0000EE"/>
            <w:sz w:val="21"/>
            <w:szCs w:val="21"/>
            <w:u w:val="single" w:color="0000EE"/>
          </w:rPr>
          <w:t>Uredbe (EU) št. 1303/2013</w:t>
        </w:r>
      </w:hyperlink>
      <w:r>
        <w:rPr>
          <w:rFonts w:ascii="Arial" w:eastAsia="Arial" w:hAnsi="Arial" w:cs="Arial"/>
          <w:sz w:val="21"/>
          <w:szCs w:val="21"/>
        </w:rPr>
        <w:t xml:space="preserve"> Evropskega parlamenta in Sveta v zvezi z vzorci za predložitev nekaterih informacij Komisiji ter o podrobnih pravilih za izmenjavo informacij med upravičenci in organi upravljanja, organi za potrjevanje, revizijskimi organi in posredniškimi organi (UL L št. 286 z dne 30. 9. 2014, str. 1), zadnjič spremenjene z </w:t>
      </w:r>
      <w:hyperlink r:id="rId64" w:tgtFrame="_blank" w:tooltip="to EUR-Lex" w:history="1">
        <w:r>
          <w:rPr>
            <w:rFonts w:ascii="Arial" w:eastAsia="Arial" w:hAnsi="Arial" w:cs="Arial"/>
            <w:color w:val="0000EE"/>
            <w:sz w:val="21"/>
            <w:szCs w:val="21"/>
            <w:u w:val="single" w:color="0000EE"/>
          </w:rPr>
          <w:t>Izvedbeno uredbo Komisije (EU) 2021/437</w:t>
        </w:r>
      </w:hyperlink>
      <w:r>
        <w:rPr>
          <w:rFonts w:ascii="Arial" w:eastAsia="Arial" w:hAnsi="Arial" w:cs="Arial"/>
          <w:sz w:val="21"/>
          <w:szCs w:val="21"/>
        </w:rPr>
        <w:t xml:space="preserve"> z dne 3. marca 2021 o spremembi </w:t>
      </w:r>
      <w:hyperlink r:id="rId63" w:tgtFrame="_blank" w:tooltip="to EUR-Lex" w:history="1">
        <w:r>
          <w:rPr>
            <w:rFonts w:ascii="Arial" w:eastAsia="Arial" w:hAnsi="Arial" w:cs="Arial"/>
            <w:color w:val="0000EE"/>
            <w:sz w:val="21"/>
            <w:szCs w:val="21"/>
            <w:u w:val="single" w:color="0000EE"/>
          </w:rPr>
          <w:t>Izvedbene uredbe (EU) št. 1011/2014</w:t>
        </w:r>
      </w:hyperlink>
      <w:r>
        <w:rPr>
          <w:rFonts w:ascii="Arial" w:eastAsia="Arial" w:hAnsi="Arial" w:cs="Arial"/>
          <w:sz w:val="21"/>
          <w:szCs w:val="21"/>
        </w:rPr>
        <w:t xml:space="preserve"> glede sprememb vzorca za posredovanje finančnih podatkov, vzorca zahtevka za plačilo, vključno z dodatnimi informacijami o finančnih instrumentih, in vzorca za izkaze (UL L št. 85 z dne 12. 3. 2021, str. 107);</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23.   </w:t>
      </w:r>
      <w:hyperlink r:id="rId65" w:tgtFrame="_blank" w:tooltip="to EUR-Lex" w:history="1">
        <w:r>
          <w:rPr>
            <w:rFonts w:ascii="Arial" w:eastAsia="Arial" w:hAnsi="Arial" w:cs="Arial"/>
            <w:color w:val="0000EE"/>
            <w:sz w:val="21"/>
            <w:szCs w:val="21"/>
            <w:u w:val="single" w:color="0000EE"/>
          </w:rPr>
          <w:t>Delegirane uredbe Komisije (EU) št. 1014/2014</w:t>
        </w:r>
      </w:hyperlink>
      <w:r>
        <w:rPr>
          <w:rFonts w:ascii="Arial" w:eastAsia="Arial" w:hAnsi="Arial" w:cs="Arial"/>
          <w:sz w:val="21"/>
          <w:szCs w:val="21"/>
        </w:rPr>
        <w:t xml:space="preserve"> z dne 22. julija 2014 o dopolnitvi </w:t>
      </w:r>
      <w:hyperlink r:id="rId33" w:tgtFrame="_blank" w:tooltip="to EUR-Lex" w:history="1">
        <w:r>
          <w:rPr>
            <w:rFonts w:ascii="Arial" w:eastAsia="Arial" w:hAnsi="Arial" w:cs="Arial"/>
            <w:color w:val="0000EE"/>
            <w:sz w:val="21"/>
            <w:szCs w:val="21"/>
            <w:u w:val="single" w:color="0000EE"/>
          </w:rPr>
          <w:t>Uredbe (EU) št. 508/2014</w:t>
        </w:r>
      </w:hyperlink>
      <w:r>
        <w:rPr>
          <w:rFonts w:ascii="Arial" w:eastAsia="Arial" w:hAnsi="Arial" w:cs="Arial"/>
          <w:sz w:val="21"/>
          <w:szCs w:val="21"/>
        </w:rPr>
        <w:t xml:space="preserve"> Evropskega parlamenta in Sveta o Evropskem skladu za pomorstvo in ribištvo in razveljavitvi </w:t>
      </w:r>
      <w:hyperlink r:id="rId34" w:tgtFrame="_blank" w:tooltip="to EUR-Lex" w:history="1">
        <w:r>
          <w:rPr>
            <w:rFonts w:ascii="Arial" w:eastAsia="Arial" w:hAnsi="Arial" w:cs="Arial"/>
            <w:color w:val="0000EE"/>
            <w:sz w:val="21"/>
            <w:szCs w:val="21"/>
            <w:u w:val="single" w:color="0000EE"/>
          </w:rPr>
          <w:t>uredb Sveta (ES) št. 2328/2003</w:t>
        </w:r>
      </w:hyperlink>
      <w:r>
        <w:rPr>
          <w:rFonts w:ascii="Arial" w:eastAsia="Arial" w:hAnsi="Arial" w:cs="Arial"/>
          <w:sz w:val="21"/>
          <w:szCs w:val="21"/>
        </w:rPr>
        <w:t xml:space="preserve">, </w:t>
      </w:r>
      <w:hyperlink r:id="rId66" w:tgtFrame="_blank" w:tooltip="to EUR-Lex" w:history="1">
        <w:r>
          <w:rPr>
            <w:rFonts w:ascii="Arial" w:eastAsia="Arial" w:hAnsi="Arial" w:cs="Arial"/>
            <w:color w:val="0000EE"/>
            <w:sz w:val="21"/>
            <w:szCs w:val="21"/>
            <w:u w:val="single" w:color="0000EE"/>
          </w:rPr>
          <w:t>(ES) št. 861/2006</w:t>
        </w:r>
      </w:hyperlink>
      <w:r>
        <w:rPr>
          <w:rFonts w:ascii="Arial" w:eastAsia="Arial" w:hAnsi="Arial" w:cs="Arial"/>
          <w:sz w:val="21"/>
          <w:szCs w:val="21"/>
        </w:rPr>
        <w:t xml:space="preserve">, </w:t>
      </w:r>
      <w:hyperlink r:id="rId67" w:tgtFrame="_blank" w:tooltip="to EUR-Lex" w:history="1">
        <w:r>
          <w:rPr>
            <w:rFonts w:ascii="Arial" w:eastAsia="Arial" w:hAnsi="Arial" w:cs="Arial"/>
            <w:color w:val="0000EE"/>
            <w:sz w:val="21"/>
            <w:szCs w:val="21"/>
            <w:u w:val="single" w:color="0000EE"/>
          </w:rPr>
          <w:t>(ES) št. 1198/2006</w:t>
        </w:r>
      </w:hyperlink>
      <w:r>
        <w:rPr>
          <w:rFonts w:ascii="Arial" w:eastAsia="Arial" w:hAnsi="Arial" w:cs="Arial"/>
          <w:sz w:val="21"/>
          <w:szCs w:val="21"/>
        </w:rPr>
        <w:t xml:space="preserve"> in </w:t>
      </w:r>
      <w:hyperlink r:id="rId68" w:tgtFrame="_blank" w:tooltip="to EUR-Lex" w:history="1">
        <w:r>
          <w:rPr>
            <w:rFonts w:ascii="Arial" w:eastAsia="Arial" w:hAnsi="Arial" w:cs="Arial"/>
            <w:color w:val="0000EE"/>
            <w:sz w:val="21"/>
            <w:szCs w:val="21"/>
            <w:u w:val="single" w:color="0000EE"/>
          </w:rPr>
          <w:t>(ES) št. 791/2007</w:t>
        </w:r>
      </w:hyperlink>
      <w:r>
        <w:rPr>
          <w:rFonts w:ascii="Arial" w:eastAsia="Arial" w:hAnsi="Arial" w:cs="Arial"/>
          <w:sz w:val="21"/>
          <w:szCs w:val="21"/>
        </w:rPr>
        <w:t xml:space="preserve"> in </w:t>
      </w:r>
      <w:hyperlink r:id="rId35" w:tgtFrame="_blank" w:tooltip="to EUR-Lex" w:history="1">
        <w:r>
          <w:rPr>
            <w:rFonts w:ascii="Arial" w:eastAsia="Arial" w:hAnsi="Arial" w:cs="Arial"/>
            <w:color w:val="0000EE"/>
            <w:sz w:val="21"/>
            <w:szCs w:val="21"/>
            <w:u w:val="single" w:color="0000EE"/>
          </w:rPr>
          <w:t>Uredbe (EU) št. 1255/2011</w:t>
        </w:r>
      </w:hyperlink>
      <w:r>
        <w:rPr>
          <w:rFonts w:ascii="Arial" w:eastAsia="Arial" w:hAnsi="Arial" w:cs="Arial"/>
          <w:sz w:val="21"/>
          <w:szCs w:val="21"/>
        </w:rPr>
        <w:t xml:space="preserve"> Evropskega parlamenta in Sveta v zvezi z vsebino in sestavo skupnega sistema spremljanja in vrednotenja za operacije, financirane iz Evropskega sklada za pomorstvo in ribištvo (UL L št. 283 z dne 27. 9. 2014, str. 11), zadnjič popravljene s Popravkom (UL L št. 260 z dne 7. 10. 2015, str. 31);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Izvedbenega sklepa Komisije (EU) z dne 11. junija 2014 o določitvi letne razdelitve, po državah članicah, skupnih virov Evropskega sklada za pomorstvo in ribištvo, ki so na voljo v okviru deljenega upravljanja za obdobje 2014–2020 (UL L št. 180 z dne 20. 6. 2014, str. 18);</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25.   </w:t>
      </w:r>
      <w:hyperlink r:id="rId69" w:tgtFrame="_blank" w:tooltip="to EUR-Lex" w:history="1">
        <w:r>
          <w:rPr>
            <w:rFonts w:ascii="Arial" w:eastAsia="Arial" w:hAnsi="Arial" w:cs="Arial"/>
            <w:color w:val="0000EE"/>
            <w:sz w:val="21"/>
            <w:szCs w:val="21"/>
            <w:u w:val="single" w:color="0000EE"/>
          </w:rPr>
          <w:t>Delegirane uredbe Komisije (EU) št. 2015/288</w:t>
        </w:r>
      </w:hyperlink>
      <w:r>
        <w:rPr>
          <w:rFonts w:ascii="Arial" w:eastAsia="Arial" w:hAnsi="Arial" w:cs="Arial"/>
          <w:sz w:val="21"/>
          <w:szCs w:val="21"/>
        </w:rPr>
        <w:t xml:space="preserve"> z dne 17. decembra 2014 o dopolnitvi </w:t>
      </w:r>
      <w:hyperlink r:id="rId33" w:tgtFrame="_blank" w:tooltip="to EUR-Lex" w:history="1">
        <w:r>
          <w:rPr>
            <w:rFonts w:ascii="Arial" w:eastAsia="Arial" w:hAnsi="Arial" w:cs="Arial"/>
            <w:color w:val="0000EE"/>
            <w:sz w:val="21"/>
            <w:szCs w:val="21"/>
            <w:u w:val="single" w:color="0000EE"/>
          </w:rPr>
          <w:t>Uredbe (EU) št. 508/2014</w:t>
        </w:r>
      </w:hyperlink>
      <w:r>
        <w:rPr>
          <w:rFonts w:ascii="Arial" w:eastAsia="Arial" w:hAnsi="Arial" w:cs="Arial"/>
          <w:sz w:val="21"/>
          <w:szCs w:val="21"/>
        </w:rPr>
        <w:t xml:space="preserve"> Evropskega parlamenta in Sveta o evropskem skladu za pomorstvo in ribištvo glede časovnega obdobja in datumov za nedopustnost vlog (UL L št. 51 z dne 24. 2. 2015, str. 1), zadnjič spremenjene z </w:t>
      </w:r>
      <w:hyperlink r:id="rId70" w:tgtFrame="_blank" w:tooltip="to EUR-Lex" w:history="1">
        <w:r>
          <w:rPr>
            <w:rFonts w:ascii="Arial" w:eastAsia="Arial" w:hAnsi="Arial" w:cs="Arial"/>
            <w:color w:val="0000EE"/>
            <w:sz w:val="21"/>
            <w:szCs w:val="21"/>
            <w:u w:val="single" w:color="0000EE"/>
          </w:rPr>
          <w:t>Delegirano uredbo Komisije (EU) 2015/2252</w:t>
        </w:r>
      </w:hyperlink>
      <w:r>
        <w:rPr>
          <w:rFonts w:ascii="Arial" w:eastAsia="Arial" w:hAnsi="Arial" w:cs="Arial"/>
          <w:sz w:val="21"/>
          <w:szCs w:val="21"/>
        </w:rPr>
        <w:t xml:space="preserve"> z dne 30. septembra 2015 o spremembi </w:t>
      </w:r>
      <w:hyperlink r:id="rId69" w:tgtFrame="_blank" w:tooltip="to EUR-Lex" w:history="1">
        <w:r>
          <w:rPr>
            <w:rFonts w:ascii="Arial" w:eastAsia="Arial" w:hAnsi="Arial" w:cs="Arial"/>
            <w:color w:val="0000EE"/>
            <w:sz w:val="21"/>
            <w:szCs w:val="21"/>
            <w:u w:val="single" w:color="0000EE"/>
          </w:rPr>
          <w:t>Delegirane uredbe (EU) 2015/288</w:t>
        </w:r>
      </w:hyperlink>
      <w:r>
        <w:rPr>
          <w:rFonts w:ascii="Arial" w:eastAsia="Arial" w:hAnsi="Arial" w:cs="Arial"/>
          <w:sz w:val="21"/>
          <w:szCs w:val="21"/>
        </w:rPr>
        <w:t xml:space="preserve"> glede obdobja nedopustnosti vlog za podporo iz Evropskega sklada za pomorstvo in ribištvo (UL L št. 321 z dne 5. 12. 2015, str. 2), (v nadaljnjem besedilu: </w:t>
      </w:r>
      <w:hyperlink r:id="rId71" w:tgtFrame="_blank" w:tooltip="to EUR-Lex" w:history="1">
        <w:r>
          <w:rPr>
            <w:rFonts w:ascii="Arial" w:eastAsia="Arial" w:hAnsi="Arial" w:cs="Arial"/>
            <w:color w:val="0000EE"/>
            <w:sz w:val="21"/>
            <w:szCs w:val="21"/>
            <w:u w:val="single" w:color="0000EE"/>
          </w:rPr>
          <w:t>Uredba 2015/288/EU</w:t>
        </w:r>
      </w:hyperlink>
      <w:r>
        <w:rPr>
          <w:rFonts w:ascii="Arial" w:eastAsia="Arial" w:hAnsi="Arial" w:cs="Arial"/>
          <w:sz w:val="21"/>
          <w:szCs w:val="21"/>
        </w:rPr>
        <w:t>)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26.   </w:t>
      </w:r>
      <w:hyperlink r:id="rId70" w:tgtFrame="_blank" w:tooltip="to EUR-Lex" w:history="1">
        <w:r>
          <w:rPr>
            <w:rFonts w:ascii="Arial" w:eastAsia="Arial" w:hAnsi="Arial" w:cs="Arial"/>
            <w:color w:val="0000EE"/>
            <w:sz w:val="21"/>
            <w:szCs w:val="21"/>
            <w:u w:val="single" w:color="0000EE"/>
          </w:rPr>
          <w:t>Delegirane uredbe Komisije (EU) št. 2015/2252</w:t>
        </w:r>
      </w:hyperlink>
      <w:r>
        <w:rPr>
          <w:rFonts w:ascii="Arial" w:eastAsia="Arial" w:hAnsi="Arial" w:cs="Arial"/>
          <w:sz w:val="21"/>
          <w:szCs w:val="21"/>
        </w:rPr>
        <w:t xml:space="preserve"> z dne 30. septembra 2015 o spremembi </w:t>
      </w:r>
      <w:hyperlink r:id="rId69" w:tgtFrame="_blank" w:tooltip="to EUR-Lex" w:history="1">
        <w:r>
          <w:rPr>
            <w:rFonts w:ascii="Arial" w:eastAsia="Arial" w:hAnsi="Arial" w:cs="Arial"/>
            <w:color w:val="0000EE"/>
            <w:sz w:val="21"/>
            <w:szCs w:val="21"/>
            <w:u w:val="single" w:color="0000EE"/>
          </w:rPr>
          <w:t>Delegirane uredbe (EU) št. 2015/288</w:t>
        </w:r>
      </w:hyperlink>
      <w:r>
        <w:rPr>
          <w:rFonts w:ascii="Arial" w:eastAsia="Arial" w:hAnsi="Arial" w:cs="Arial"/>
          <w:sz w:val="21"/>
          <w:szCs w:val="21"/>
        </w:rPr>
        <w:t xml:space="preserve"> glede obdobja nedopustnosti vlog za podporo iz Evropskega sklada za pomorstvo in ribištvo (UL L št. 321 z dne 5. 12. 2015, str. 2; v nadaljnjem besedilu: </w:t>
      </w:r>
      <w:hyperlink r:id="rId72" w:tgtFrame="_blank" w:tooltip="to EUR-Lex" w:history="1">
        <w:r>
          <w:rPr>
            <w:rFonts w:ascii="Arial" w:eastAsia="Arial" w:hAnsi="Arial" w:cs="Arial"/>
            <w:color w:val="0000EE"/>
            <w:sz w:val="21"/>
            <w:szCs w:val="21"/>
            <w:u w:val="single" w:color="0000EE"/>
          </w:rPr>
          <w:t>Uredba 2015/2252/EU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Ta uredba določa tudi izvajanje in financiranje ukrepov programa razvoja podeželja v letu 2021 in 2022 za izvajanje </w:t>
      </w:r>
      <w:hyperlink r:id="rId73" w:tgtFrame="_blank" w:tooltip="to EUR-Lex" w:history="1">
        <w:r>
          <w:rPr>
            <w:rFonts w:ascii="Arial" w:eastAsia="Arial" w:hAnsi="Arial" w:cs="Arial"/>
            <w:color w:val="0000EE"/>
            <w:sz w:val="21"/>
            <w:szCs w:val="21"/>
            <w:u w:val="single" w:color="0000EE"/>
          </w:rPr>
          <w:t>Uredbe (EU) 2020/2220</w:t>
        </w:r>
      </w:hyperlink>
      <w:r>
        <w:rPr>
          <w:rFonts w:ascii="Arial" w:eastAsia="Arial" w:hAnsi="Arial" w:cs="Arial"/>
          <w:sz w:val="21"/>
          <w:szCs w:val="21"/>
        </w:rPr>
        <w:t xml:space="preserve"> Evropskega parlamenta in Sveta z dne 23. decembra 2020 o določitvi nekaterih prehodnih določb za podporo iz Evropskega kmetijskega sklada za razvoj podeželja (EKSRP) in Evropskega kmetijskega jamstvenega sklada (EKJS) v letih 2021 in 2022 ter o spremembi </w:t>
      </w:r>
      <w:hyperlink r:id="rId16" w:tgtFrame="_blank" w:tooltip="to EUR-Lex" w:history="1">
        <w:r>
          <w:rPr>
            <w:rFonts w:ascii="Arial" w:eastAsia="Arial" w:hAnsi="Arial" w:cs="Arial"/>
            <w:color w:val="0000EE"/>
            <w:sz w:val="21"/>
            <w:szCs w:val="21"/>
            <w:u w:val="single" w:color="0000EE"/>
          </w:rPr>
          <w:t>uredb (EU) št. 1305/2013</w:t>
        </w:r>
      </w:hyperlink>
      <w:r>
        <w:rPr>
          <w:rFonts w:ascii="Arial" w:eastAsia="Arial" w:hAnsi="Arial" w:cs="Arial"/>
          <w:sz w:val="21"/>
          <w:szCs w:val="21"/>
        </w:rPr>
        <w:t xml:space="preserve">, </w:t>
      </w:r>
      <w:hyperlink r:id="rId18" w:tgtFrame="_blank" w:tooltip="to EUR-Lex" w:history="1">
        <w:r>
          <w:rPr>
            <w:rFonts w:ascii="Arial" w:eastAsia="Arial" w:hAnsi="Arial" w:cs="Arial"/>
            <w:color w:val="0000EE"/>
            <w:sz w:val="21"/>
            <w:szCs w:val="21"/>
            <w:u w:val="single" w:color="0000EE"/>
          </w:rPr>
          <w:t>(EU) št. 1306/2013</w:t>
        </w:r>
      </w:hyperlink>
      <w:r>
        <w:rPr>
          <w:rFonts w:ascii="Arial" w:eastAsia="Arial" w:hAnsi="Arial" w:cs="Arial"/>
          <w:sz w:val="21"/>
          <w:szCs w:val="21"/>
        </w:rPr>
        <w:t xml:space="preserve"> in </w:t>
      </w:r>
      <w:hyperlink r:id="rId22" w:tgtFrame="_blank" w:tooltip="to EUR-Lex" w:history="1">
        <w:r>
          <w:rPr>
            <w:rFonts w:ascii="Arial" w:eastAsia="Arial" w:hAnsi="Arial" w:cs="Arial"/>
            <w:color w:val="0000EE"/>
            <w:sz w:val="21"/>
            <w:szCs w:val="21"/>
            <w:u w:val="single" w:color="0000EE"/>
          </w:rPr>
          <w:t>(EU) št. 1307/2013</w:t>
        </w:r>
      </w:hyperlink>
      <w:r>
        <w:rPr>
          <w:rFonts w:ascii="Arial" w:eastAsia="Arial" w:hAnsi="Arial" w:cs="Arial"/>
          <w:sz w:val="21"/>
          <w:szCs w:val="21"/>
        </w:rPr>
        <w:t xml:space="preserve"> glede sredstev in uporabe v letih 2021 in 2022 ter </w:t>
      </w:r>
      <w:hyperlink r:id="rId23" w:tgtFrame="_blank" w:tooltip="to EUR-Lex" w:history="1">
        <w:r>
          <w:rPr>
            <w:rFonts w:ascii="Arial" w:eastAsia="Arial" w:hAnsi="Arial" w:cs="Arial"/>
            <w:color w:val="0000EE"/>
            <w:sz w:val="21"/>
            <w:szCs w:val="21"/>
            <w:u w:val="single" w:color="0000EE"/>
          </w:rPr>
          <w:t>Uredbe (EU) št. 1308/2013</w:t>
        </w:r>
      </w:hyperlink>
      <w:r>
        <w:rPr>
          <w:rFonts w:ascii="Arial" w:eastAsia="Arial" w:hAnsi="Arial" w:cs="Arial"/>
          <w:sz w:val="21"/>
          <w:szCs w:val="21"/>
        </w:rPr>
        <w:t xml:space="preserve"> glede sredstev in razdelitve take podpore v letih 2021 in 2022 (UL L št. 437 z dne 28. 12. 2020, str. 1; v nadaljnjem besedilu: </w:t>
      </w:r>
      <w:hyperlink r:id="rId73" w:tgtFrame="_blank" w:tooltip="to EUR-Lex" w:history="1">
        <w:r>
          <w:rPr>
            <w:rFonts w:ascii="Arial" w:eastAsia="Arial" w:hAnsi="Arial" w:cs="Arial"/>
            <w:color w:val="0000EE"/>
            <w:sz w:val="21"/>
            <w:szCs w:val="21"/>
            <w:u w:val="single" w:color="0000EE"/>
          </w:rPr>
          <w:t>Uredba 2020/2220/EU</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Izrazi, uporabljeni v tej uredbi, imajo naslednji pomen: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finančni okvir določa višino sredstev za uresničevanje ciljev strategije lokalnega razvoja (v nadaljnjem besedilu: SLR) posamezne lokalne akcijske skupine. Sredstva se črpa iz podukrepov iz 8. člena te uredbe, razen iz podukrepa iz tretje alineje 8. člena te uredbe za sklad EKSRP. Finančni okvir se izračuna na podlagi formule, določene za zadevni sklad, in je podlaga za izdelavo finančnega načrta v SLR;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glavni sklad je sklad, katerega prispevek finančnih sredstev, je na podlagi določenega finančnega okvira, na posameznem območju lokalne akcijske skupine, najvišji. Glavni sklad se za sofinanciranje tekočih stroškov in stroškov animacije določi v primeru, ko je SLR financiran iz naslova več kot enega sklada;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glavni ukrep pomeni ukrep v skladu s PRP 2014–2020;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integrirana operacija je operacija, pri kateri sodelujeta dva ali več partnerjev z namenom uresničevanja skupnega cilja in se financira bodisi iz enega bodisi iz več različnih virov financiranja;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javna podpora pomeni nepovratna javna finančna sredstva in vključuje prispevek Evropske unije in nacionalni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lokalno partnerstvo pomeni skupino javnih in zasebnih subjektov, ki se združijo z namenom priprave SLR in uresničevanja ciljev SLR;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7.      lokalna akcijska skupina (v nadaljnjem besedilu: LAS) je lokalno partnerstvo, ustanovljeno z namenom uresničevanja ciljev in potreb lokalnega okolja, po pristopu »od spodaj navzgor« v skladu s točko (b) drugega odstavka 32. člena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 xml:space="preserve"> in 61. členom </w:t>
      </w:r>
      <w:hyperlink r:id="rId33" w:tgtFrame="_blank" w:tooltip="to EUR-Lex" w:history="1">
        <w:r>
          <w:rPr>
            <w:rFonts w:ascii="Arial" w:eastAsia="Arial" w:hAnsi="Arial" w:cs="Arial"/>
            <w:color w:val="0000EE"/>
            <w:sz w:val="21"/>
            <w:szCs w:val="21"/>
            <w:u w:val="single" w:color="0000EE"/>
          </w:rPr>
          <w:t>Uredbe 508/2014/EU</w:t>
        </w:r>
      </w:hyperlink>
      <w:r>
        <w:rPr>
          <w:rFonts w:ascii="Arial" w:eastAsia="Arial" w:hAnsi="Arial" w:cs="Arial"/>
          <w:sz w:val="21"/>
          <w:szCs w:val="21"/>
        </w:rPr>
        <w:t xml:space="preserve"> in potrjeno s strani zadevnih organov upravljanja;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naložba pomeni investicije v izgradnjo, prenovo ali opremljenost objektov, nakup mehanizacije, strojev ali opreme, nakup zemljišč ter investicije v prometno, komunalno, komunikacijsko, namakalno, turistično, okoljsko, parkovno in drugo infrastrukturo;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okoljska trajnost pomeni načelo za izbor operacij v povezavi z merili za izbor operacij, ki jih lokalna partnerstva določijo v SLR;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podukrep pomeni vrsto aktivnosti, upravičenih do sofinanciranja;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11.   prednostna naložba je cilj, opredeljen z </w:t>
      </w:r>
      <w:hyperlink r:id="rId7" w:tgtFrame="_blank" w:tooltip="to EUR-Lex" w:history="1">
        <w:r>
          <w:rPr>
            <w:rFonts w:ascii="Arial" w:eastAsia="Arial" w:hAnsi="Arial" w:cs="Arial"/>
            <w:color w:val="0000EE"/>
            <w:sz w:val="21"/>
            <w:szCs w:val="21"/>
            <w:u w:val="single" w:color="0000EE"/>
          </w:rPr>
          <w:t>Uredbo 1301/2013/EU</w:t>
        </w:r>
      </w:hyperlink>
      <w:r>
        <w:rPr>
          <w:rFonts w:ascii="Arial" w:eastAsia="Arial" w:hAnsi="Arial" w:cs="Arial"/>
          <w:sz w:val="21"/>
          <w:szCs w:val="21"/>
        </w:rPr>
        <w:t xml:space="preserve">, ki podrobneje in osredotočeno določa posamezni tematski cilj iz 9. člena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problemsko območje je tisto območje, ki ga Vlada Republike Slovenije na podlagi zakona, ki ureja spodbujanje skladnega regionalnega razvoja, s sklepom o dodatnih začasnih ukrepih razvojne podpore za problemsko območje z visoko brezposelnostjo razglasi kot problemsko območje, in območje v skladu z zakonom, ki ureja razvojno podporo Pomurski regiji v obdobju 2010–2019;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13.   ribiško območje je območje Republike Slovenije, ki zajema vse obalne lokalne skupnosti (Koper, Izola, Piran in Ankaran). V skladu s točko (a) prvega in šestega odstavka 33. člena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 xml:space="preserve"> in 5. točko drugega odstavka 3. člena </w:t>
      </w:r>
      <w:hyperlink r:id="rId33" w:tgtFrame="_blank" w:tooltip="to EUR-Lex" w:history="1">
        <w:r>
          <w:rPr>
            <w:rFonts w:ascii="Arial" w:eastAsia="Arial" w:hAnsi="Arial" w:cs="Arial"/>
            <w:color w:val="0000EE"/>
            <w:sz w:val="21"/>
            <w:szCs w:val="21"/>
            <w:u w:val="single" w:color="0000EE"/>
          </w:rPr>
          <w:t>Uredbe 508/2014/EU</w:t>
        </w:r>
      </w:hyperlink>
      <w:r>
        <w:rPr>
          <w:rFonts w:ascii="Arial" w:eastAsia="Arial" w:hAnsi="Arial" w:cs="Arial"/>
          <w:sz w:val="21"/>
          <w:szCs w:val="21"/>
        </w:rPr>
        <w:t xml:space="preserve"> pomeni »ribiško območje in območje akvakulture« območje z morsko, rečno ali jezersko obalo, vključno z ribniki ali porečjem, z znatnim deležem zaposlenosti v ribištvu ali akvakulturi, ki je funkcionalno skladno v geografskem, gospodarskem in socialnem smislu ter ga kot takega določi država članica; na območju je najmanj 10.000 do največ 150.000 prebivalcev;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ukrep iz 7. točke prvega odstavka 15. člena te uredbe pomeni analizo, ali so cilji SLR uresničljivi;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zadevni organ upravljanja je tisti organ upravljanja, ki je pristojen za zadevni sklad;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zadevni sklad je tisti sklad, ki sofinancira posamezno operacijo;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17.   enotno podjetje je enotno podjetje iz drugega odstavka 2. člena </w:t>
      </w:r>
      <w:hyperlink r:id="rId24" w:tgtFrame="_blank" w:tooltip="to EUR-Lex" w:history="1">
        <w:r>
          <w:rPr>
            <w:rFonts w:ascii="Arial" w:eastAsia="Arial" w:hAnsi="Arial" w:cs="Arial"/>
            <w:color w:val="0000EE"/>
            <w:sz w:val="21"/>
            <w:szCs w:val="21"/>
            <w:u w:val="single" w:color="0000EE"/>
          </w:rPr>
          <w:t>Uredbe 1407/2013/EU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neposredni stroški osebja so stroški plač in povračila stroškov v zvezi z delom, razen stroškov za službena potovanja,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19.   posredni stroški so stroški, kot jih določajo smernice o poenostavljenih možnostih obračunavanja stroškov, ki jih je pripravila Evropska komisija v skladu s 67. in 68. členom </w:t>
      </w:r>
      <w:hyperlink r:id="rId74" w:tgtFrame="_blank" w:tooltip="to EUR-Lex" w:history="1">
        <w:r>
          <w:rPr>
            <w:rFonts w:ascii="Arial" w:eastAsia="Arial" w:hAnsi="Arial" w:cs="Arial"/>
            <w:color w:val="0000EE"/>
            <w:sz w:val="21"/>
            <w:szCs w:val="21"/>
            <w:u w:val="single" w:color="0000EE"/>
          </w:rPr>
          <w:t>Uredbe 1303/2013/EU, 14. členom</w:t>
        </w:r>
      </w:hyperlink>
      <w:r>
        <w:rPr>
          <w:rFonts w:ascii="Arial" w:eastAsia="Arial" w:hAnsi="Arial" w:cs="Arial"/>
          <w:sz w:val="21"/>
          <w:szCs w:val="21"/>
        </w:rPr>
        <w:t xml:space="preserve"> </w:t>
      </w:r>
      <w:hyperlink r:id="rId75" w:tgtFrame="_blank" w:tooltip="to EUR-Lex" w:history="1">
        <w:r>
          <w:rPr>
            <w:rFonts w:ascii="Arial" w:eastAsia="Arial" w:hAnsi="Arial" w:cs="Arial"/>
            <w:color w:val="0000EE"/>
            <w:sz w:val="21"/>
            <w:szCs w:val="21"/>
            <w:u w:val="single" w:color="0000EE"/>
          </w:rPr>
          <w:t>Uredbe (EU) št. 1304/2013</w:t>
        </w:r>
      </w:hyperlink>
      <w:r>
        <w:rPr>
          <w:rFonts w:ascii="Arial" w:eastAsia="Arial" w:hAnsi="Arial" w:cs="Arial"/>
          <w:sz w:val="21"/>
          <w:szCs w:val="21"/>
        </w:rPr>
        <w:t xml:space="preserve"> Evropskega parlamenta in Sveta z dne 17. decembra 2013 o Evropskem socialnem skladu in razveljavitvi </w:t>
      </w:r>
      <w:hyperlink r:id="rId76" w:tgtFrame="_blank" w:tooltip="to EUR-Lex" w:history="1">
        <w:r>
          <w:rPr>
            <w:rFonts w:ascii="Arial" w:eastAsia="Arial" w:hAnsi="Arial" w:cs="Arial"/>
            <w:color w:val="0000EE"/>
            <w:sz w:val="21"/>
            <w:szCs w:val="21"/>
            <w:u w:val="single" w:color="0000EE"/>
          </w:rPr>
          <w:t>Uredbe Sveta (ES) št. 1081/2006</w:t>
        </w:r>
      </w:hyperlink>
      <w:r>
        <w:rPr>
          <w:rFonts w:ascii="Arial" w:eastAsia="Arial" w:hAnsi="Arial" w:cs="Arial"/>
          <w:sz w:val="21"/>
          <w:szCs w:val="21"/>
        </w:rPr>
        <w:t xml:space="preserve"> (UL L št. 347 z dne 20. 12. 2013, str. 470), zadnjič spremenjene z </w:t>
      </w:r>
      <w:hyperlink r:id="rId77" w:tgtFrame="_blank" w:tooltip="to EUR-Lex" w:history="1">
        <w:r>
          <w:rPr>
            <w:rFonts w:ascii="Arial" w:eastAsia="Arial" w:hAnsi="Arial" w:cs="Arial"/>
            <w:color w:val="0000EE"/>
            <w:sz w:val="21"/>
            <w:szCs w:val="21"/>
            <w:u w:val="single" w:color="0000EE"/>
          </w:rPr>
          <w:t>Uredbo (EU) 2015/779</w:t>
        </w:r>
      </w:hyperlink>
      <w:r>
        <w:rPr>
          <w:rFonts w:ascii="Arial" w:eastAsia="Arial" w:hAnsi="Arial" w:cs="Arial"/>
          <w:sz w:val="21"/>
          <w:szCs w:val="21"/>
        </w:rPr>
        <w:t xml:space="preserve"> Evropskega parlamenta in Sveta z dne 20. maja 2015 o spremembi </w:t>
      </w:r>
      <w:hyperlink r:id="rId75" w:tgtFrame="_blank" w:tooltip="to EUR-Lex" w:history="1">
        <w:r>
          <w:rPr>
            <w:rFonts w:ascii="Arial" w:eastAsia="Arial" w:hAnsi="Arial" w:cs="Arial"/>
            <w:color w:val="0000EE"/>
            <w:sz w:val="21"/>
            <w:szCs w:val="21"/>
            <w:u w:val="single" w:color="0000EE"/>
          </w:rPr>
          <w:t>Uredbe (EU) št. 1304/2013</w:t>
        </w:r>
      </w:hyperlink>
      <w:r>
        <w:rPr>
          <w:rFonts w:ascii="Arial" w:eastAsia="Arial" w:hAnsi="Arial" w:cs="Arial"/>
          <w:sz w:val="21"/>
          <w:szCs w:val="21"/>
        </w:rPr>
        <w:t xml:space="preserve"> glede dodatnega začetnega predplačila, ki se izplača za operativne programe, podprte v okviru pobude za zaposlovanje mladih (UL L št. 126 z dne 21. 5. 2015, str. 1), ter 19. členom </w:t>
      </w:r>
      <w:hyperlink r:id="rId26" w:tgtFrame="_blank" w:tooltip="to EUR-Lex" w:history="1">
        <w:r>
          <w:rPr>
            <w:rFonts w:ascii="Arial" w:eastAsia="Arial" w:hAnsi="Arial" w:cs="Arial"/>
            <w:color w:val="0000EE"/>
            <w:sz w:val="21"/>
            <w:szCs w:val="21"/>
            <w:u w:val="single" w:color="0000EE"/>
          </w:rPr>
          <w:t>Uredbe (EU) št. 1299/2013</w:t>
        </w:r>
      </w:hyperlink>
      <w:r>
        <w:rPr>
          <w:rFonts w:ascii="Arial" w:eastAsia="Arial" w:hAnsi="Arial" w:cs="Arial"/>
          <w:sz w:val="21"/>
          <w:szCs w:val="21"/>
        </w:rPr>
        <w:t xml:space="preserve"> Evropskega parlamenta in Sveta z dne 17. decembra 2013 o posebnih določbah za podporo cilju »evropsko teritorialno sodelovanje« iz Evropskega sklada za regionalni razvoj (UL L št. 347 z dne 20. 12. 2013, str. 259).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(Koordinacijski odbor CLLD)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Koordinacijski odbor CLLD je organ, ki ga v skladu s tretjim odstavkom 33. člena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 xml:space="preserve"> ustanovijo pristojni organi upravljanja.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Koordinacijski odbor CLLD sestavljajo predstavniki posameznega organa upravljanja ter drugih organov, vključenih v izvajanje CLLD.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(drugi organi vključeni v izvajanje CLLD)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V skladu z drugim odstavkom 65. člena </w:t>
      </w:r>
      <w:hyperlink r:id="rId16" w:tgtFrame="_blank" w:tooltip="to EUR-Lex" w:history="1">
        <w:r>
          <w:rPr>
            <w:rFonts w:ascii="Arial" w:eastAsia="Arial" w:hAnsi="Arial" w:cs="Arial"/>
            <w:color w:val="0000EE"/>
            <w:sz w:val="21"/>
            <w:szCs w:val="21"/>
            <w:u w:val="single" w:color="0000EE"/>
          </w:rPr>
          <w:t>Uredbe 1305/2013/EU</w:t>
        </w:r>
      </w:hyperlink>
      <w:r>
        <w:rPr>
          <w:rFonts w:ascii="Arial" w:eastAsia="Arial" w:hAnsi="Arial" w:cs="Arial"/>
          <w:sz w:val="21"/>
          <w:szCs w:val="21"/>
        </w:rPr>
        <w:t xml:space="preserve"> so za sklad EKSRP imenovani naslednji organi: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organ upravljanja je Ministrstvo za kmetijstvo, gozdarstvo in prehrano (v nadaljnjem besedilu: MKGP). Naloge organa upravljanja pa opravljata MKGP in Agencija Republike Slovenije za kmetijske trge in razvoj podeželja (v nadaljnjem besedilu: ARSKTRP);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akreditirana plačilna agencija je ARSKTRP;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certifikacijski organ je Urad Republike Slovenije za nadzor proračuna (nadaljnjem besedilu: UNP), ki je organ v sestavi Ministrstva za finance.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V skladu s 123. členom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 xml:space="preserve"> so za sklad ESRR imenovani naslednji organi: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organ upravljanja je Služba Vlade Republike Slovenije za razvoj in evropsko kohezijsko politiko (v nadaljnjem besedilu: SVRK);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posredniški organ je Ministrstvo za gospodarski razvoj in tehnologijo (v nadaljnjem besedilu: MGRT);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organ za potrjevanje je Ministrstvo za finance, Sektor za upravljanje s sredstvi EU/PO;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revizijski organ je UNP.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V skladu s 123. členom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 xml:space="preserve"> so za sklad ESPR imenovani naslednji organi: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organ upravljanja je MKGP;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organ za potrjevanje in posredniški organ je ARSKTRP;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revizijski organ je UNP.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posameznega organa, vključenega v izvajanje CLLD)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Naloge Koordinacijskega odbora CLLD so zagotavljanje sinergij in pretok informacij med vsemi skladi in organi upravljanja, vključenimi v izvajanje CLLD, priprava skupnega nacionalnega predpisa, izbira SLR in LAS, predložitev izbranih SLR v odobritev zadevnim organom upravljanja ter obravnava in priprava mnenja o potrditvi oziroma zavrnitvi sprememb SLR.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Naloge organov iz prvega odstavka prejšnjega člena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organ upravljanja EKSRP skupaj s posredniškim organom ESRR in organom upravljanja ESPR izda odločbo o potrditvi oziroma zavrnitvi SLR in LAS ter odločbo o potrditvi oziroma zavrnitvi spremembe SLR. MKGP opravlja naslednje naloge: izda odločbo o potrditvi oziroma zavrnitvi SLR in LAS v skladu s 16. členom te uredbe, izda odločbo o potrditvi oziroma zavrnitvi spremembe SLR, določi finančni okvir za črpanje sredstev iz naslova EKSRP, nadzoruje in spremlja delovanje posameznega LAS, organizira izobraževanja in delavnice za LAS, opravlja pregled uspešnosti in obvesti LAS o doseganju mejnikov, priglasi državno pomoč in poroča o njenih izplačilih, pripravi javni razpis za podukrep »Priprava in izvajanje dejavnosti sodelovanja lokalne akcijske skupine«. ARSKTRP opravlja naslednje naloge: zagotovi beleženje, vzdrževanje, vodenje in sporočanje podatkov v povezavi z izvajanjem podukrepov, preverja izpolnjevanje pogojev za upravičenost operacij pred izdajo odločbe o pravici do sredstev (v nadaljnjem besedilu: odločba o odobritvi operacije), izdaja odločbe in sklepe upravičencem, vodi upravne postopke, odloča o spremembah operacij, izvaja javne razpise ter izbira in potrjuje operacije za podukrep »Priprava in izvajanje dejavnosti sodelovanja lokalne akcijske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akreditirana plačilna agencija izvaja nadzor nad operacijami, preverja, ali so izpolnjeni pogoji za upravičenost pred izplačilom sredstev, opravlja administrativne kontrole, »in situ« kontrole in kontrole na kraju samem ter skrbi za pravilna izplačila sredstev in izterjave. Pred nakazilom sredstev preveri možnost dvojnega financiranja, višino že prejetih sredstev iz naslova državnih pomoči in nakazuje sredstva na transakcijski račun upravičenca;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certifikacijski organ opravlja certificiranje oziroma revidiranje porabe proračunskih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Naloge organov iz drugega odstavka prejšnjega člena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organ upravljanja ESRR izda odločitev o podpori v skladu s predpisom, ki ureja izvajanje kohezijske politike v Republiki Sloveniji (v nadaljnjem besedilu: odločitev o podpori), potrdi finančni okvir za črpanje sredstev iz naslova ESRR in izvaja nadzor nad posredniškim organom;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posredniški organ skupaj z organom upravljanja EKSRP in ESPR izda odločbo o potrditvi oziroma zavrnitvi SLR in LAS v skladu s 16. členom te uredbe, izda odločbo o potrditvi oziroma zavrnitvi spremembe SLR, predlaga finančni okvir za črpanje sredstev iz naslova ESRR, nadzoruje delovanje posameznega LAS, izvaja in organizira izobraževanja in delavnice za LAS, preverja izpolnjevanje pogojev upravičenosti operacij pred sklenitvijo pogodbe o sofinanciranju, v skladu s predpisom, ki ureja izvajanje kohezijske politike v Republiki Sloveniji, sklepa pogodbe o sofinanciranju z upravičenci, priglasi državno pomoč ter potrjuje operacije za podukrep »Priprava in izvajanje dejavnosti sodelovanja lokalne akcijske skupine« in podukrep »Podpora za izvajanje operacij v okviru strategije lokalnega razvoja, ki ga vodi skupnost«, opravlja pregled uspešnosti ter spremlja delovanje posameznega LAS. Izvaja tudi nadzor nad operacijami, preverja izpolnjevanje pogojev za upravičenost pred izplačilom sredstev, opravlja administrativne kontrole in kontrole na kraju samem ter skrbi za pravilna izplačila sredstev in vračila pri neupravičenem koriščenju sredstev. Pred nakazilom sredstev preveri možnost dvojnega financiranja, višino že prejetih sredstev iz naslova državnih pomoči in nakazuje sredstva na transakcijski račun upravičenca;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organ za potrjevanje preverja skladnost izdatkov s pravili upravičenosti, izvaja povračila iz naslova prispevka Evropske unije v proračun Republike Slovenije, izdaja zahtevke za vračilo posredniškemu organu ter vodi evidenco o zahtevanih in izvršenih vračilih. Izvaja tudi preverjanja za namene certificiranja pri organu upravljanja in posredniškem organu ter preverja ustreznost postopkov in kontrol, ki jih izvaja organ upravljanja oziroma posredniški organ;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revizijski organ opravlja nadzor nad porabo proračunskih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Naloge organov iz tretjega odstavka prejšnjega člena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organ upravljanja ESPR skupaj s posredniškim organom ESRR in organom upravljanja EKSRP izda odločbo o potrditvi oziroma zavrnitvi SLR in LAS ter odločbo o potrditvi oziroma zavrnitvi spremembe SLR. MKGP opravlja naslednje naloge: izda odločbo o potrditvi oziroma zavrnitvi SLR in LAS v skladu s 16. členom te uredbe, izda odločbo o potrditvi oziroma zavrnitvi spremembe SLR, določi finančni okvir za črpanje sredstev iz naslova ESPR, nadzoruje delovanje posameznega LAS, izvaja in organizira izobraževanja in delavnice za LAS, opravlja pregled uspešnosti in obvesti LAS o doseganju mejnikov ter spremlja delovanje posameznega LAS. ARSKTRP v vlogi posredniškega organa opravlja naslednje naloge: zagotovi ustrezen informacijski sistem za beleženje, vzdrževanje, vodenje in sporočanje podatkov v povezavi z izvajanjem podukrepov, preverja izpolnjevanje pogojev za upravičenost operacij pred izdajo odločbe o odobritvi operacije, izdaja odločbe in sklepe upravičencem, vodi upravne postopke, odloča o spremembah operacij, priglasi državno pomoč, opravlja pregled uspešnosti, spremlja delovanje posameznega LAS in opravlja druge naloge v skladu z veljavno zakonodajo. ARSKTRP izvaja nadzor nad operacijami, preverja, ali so izpolnjeni pogoji za upravičenost pred izplačilom sredstev, opravlja administrativne kontrole, »in situ« kontrole in kontrole na kraju samem ter skrbi za pravilna izplačila sredstev in izterjave. Pred nakazilom sredstev preveri možnost dvojnega financiranja in višino že prejetih sredstev iz naslova državnih pomoči;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ARSKTRP nakazuje sredstva na transakcijski račun upravičenca;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revizijski organ opravlja nadzor nad porabo proračunskih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in cilj)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Namen CLLD je spodbujanje celovitega in uravnoteženega razvoja lokalnih območij po pristopu »od spodaj navzgor« ob upoštevanju endogenih razvojnih potencialov in zmogljivosti, predvsem krepitve socialnega kapitala z aktivnim vključevanjem prebivalstva v skupno načrtovanje in odločanje o lastnem lokalnem razvoju po načelu subsidiarnosti in participativne demokracije.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Cilj CLLD je spodbujanje socialnega vključevanja ter boj proti revščini in kakršnikoli diskriminaciji, zmanjševanje regionalnih razvojnih razlik in gospodarski razvoj območij. Poleg tega pa je cilj prispevati k ohranjanju narave, varstvu okolja, kulturne dediščine, kulturne krajine in njenih elementov.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(tematska področja ukrepanja)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Tematska področja ukrepanja, ki so jih zadevni organi upravljanja prepoznali za ključna pri zasledovanju ciljev Evropske unije in reševanju lokalnih razvojnih potreb,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ustvarjanje delovnih mest,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razvoj osnovnih storitev,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varstvo okolja in ohranjanje narave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večja vključenost mladih, žensk in drugih ranljivih skupin.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Podpora iz naslova EKSRP je osredotočena v peto težišče ukrepanja iz PRP 2014–2020, ki se glasi: »Zelena delovna mesta in skladen vzdržen razvoj podeželja, ki temelji na razvoju endogenih potencialov podeželja«.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Podpora iz naslova ESRR je osredotočena na peto prednostno naložbo v okviru devete prednostne osi OP EKP 2014–2020, ki se glasi »Vlaganja v okviru strategij lokalnega razvoja, ki ga vodi skupnost«.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Podpora iz naslova ESPR je osredotočena na doseganje posebnega cilja spodbujanje gospodarske rasti, socialne vključenosti, ustvarjanja delovnih mest ter podpiranja zaposljivosti in mobilnosti delovne sile v obalnih in celinskih skupnostih, ki so odvisne od ribištva in akvakulture, vključujoč diverzifikacijo dejavnosti v ribištvu in drugih sektorjih pomorskega gospodarstva v okviru četrte prednostne naloge EU, ki se glasi »Povečanje zaposlovanja in ozemeljske kohezije«.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(podukrepi)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V skladu s 35. členom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 xml:space="preserve"> je podpora namenjena izvajanju naslednjih podukrepov: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Pripravljalna podpora,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Podpora za izvajanje operacij v okviru strategije lokalnega razvoja, ki ga vodi skupnost,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Priprava in izvajanje dejavnosti sodelovanja lokalne akcijske skupine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Podpora za tekoče stroške in stroške animacije.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programskem obdobju 2014–2020 je izvedbi CLLD skupno namenjenih 110.374.770,69 eura. Iz naslova PRP 2014–2020 se nameni 66.258.652,20 eura, iz naslova OP EKP 2014–2020 36.449.451,49 eura in iz naslova OP ESPR 2014–2020 7.666.667,00 eura.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Posamezni LAS je upravičen do koriščenja sredstev iz naslova zadevnega sklada na podlagi izračuna, kot to določajo sedmi in trinajsti odstavek 56. člena, peti in šesti odstavek 68. člena ter tretji in četrti odstavek 75.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Finančni okvir določa pravico do koriščenja sredstev za posamezni LAS, izračuna se na podlagi formule, določene za zadevni sklad, in je podlaga za izdelavo finančnega načrta iz 12. točke prvega odstavka 15. člena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Upravičenec lahko zaprosi za izplačilo predplačila v skladu z določbami, ki veljajo za zadevni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LAS lahko na naslov glavnega sklada vloži največ en zahtevek za izplačilo predplačila za izvajanje podukrepa »Podpora za tekoče stroške in stroške animacije«. Zahtevek za izplačilo predplačila lahko LAS vloži v roku šestih mesecev po pravnomočnosti odločbe o potrditvi LAS in SLR.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Višina zahtevka za izplačilo predplačila lahko predstavlja do 30 odstotkov vrednosti finančnega okvira, namenjenega za izvajanje podukrepa »Podpora za tekoče stroške in stroške animacije«.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bCs/>
          <w:sz w:val="21"/>
          <w:szCs w:val="21"/>
        </w:rPr>
        <w:t>(črtan)</w:t>
      </w:r>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LOKALNA AKCIJSKA SKUPINA IN STRATEGIJA LOKALNEGA RAZVOJA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oblikovanje in delovanje lokalne akcijske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Pogoji za oblikovanje in delovanje LAS: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lokalno partnerstvo se oblikuje na območju s skupnimi lokalnimi potrebami in izzivi s skupnim ciljem uresničevanja lokalnih razvojnih potreb in doseganja zastavljenih ciljev, opredeljenih v SLR;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vzpostavitev lokalnega partnerstva in članstvo LAS se zagotavlja na podlagi javno objavljenega poziva vsaj enega od pobudnikov za oblikovanje LAS;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obvestilo o objavi javnega poziva za oblikovanje LAS ali povezavo do javnega poziva je treba posredovati Koordinacijskemu odboru CLLD;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lokalni razvoj, ki ga vodi LAS, se mora osredotočiti na posebna podregionalna območja, kar pomeni, da se območja srečujejo s posebnimi geografskimi in demografskimi težavami;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območje LAS mora biti povezano v homogeno geografsko in funkcionalno celoto, območje posamezne občine se ne sme deliti med več LAS;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posamezna območja LAS se med sabo ne smejo prekrivati;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 območju, za katero se pripravlja SLR, mora živeti med 10.000 in 150.000 prebivalcev;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število prebivalcev iz posameznih naselij z več kot 10.000 prebivalci, ki so določena v Prilogi 2, ki je sestavni del te uredbe, se ne upošteva pri omejitvi iz prejšnje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LAS, ki prostorsko pokriva območje obeh kohezijskih regij Vzhodna in Zahodna Slovenija, se uvršča v tisto regijo, v kateri živi več kot 50 odstotkov prebivalstva LAS na dan 1. julija 2014 po podatkih Statističnega urada Republike Slovenije (v nadaljnjem besedilu: SURS);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LAS mora biti organiziran kot pogodbeno partnerstvo javnih in zasebnih subjektov na izbranem območju, kar pomeni, da je ustanovljen na podlagi zavezujoče pogodbe med partnerji;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v lokalno partnerstvo so lahko vključene tudi pravne osebe javnega prava, društva in druge pravne osebe zasebnega prava v javnem interesu, ki delujejo na območju več LAS;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12.   na ravni odločanja v LAS je treba upoštevati točko (b) drugega odstavka 32. člena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LAS mora zagotoviti preglednost svojega delovanja in zagotoviti sledljivost ter nadzor nad zakonito porabo proračunskih sredstev. Zagotoviti mora transparentnost postopkov in preprečiti konflikt interesov;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lokalno partnerstvo mora izbrati enega partnerja izmed članov lokalnega partnerstva kot vodilnega partnerja, ki opravlja naloge, določene v 13. členu te uredbe;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ne glede na prejšnjo točko lahko lokalno partnerstvo vodilnega partnerja izbere v skladu s predpisi, ki urejajo javno naročanje;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LAS mora zagotoviti varen elektronski predal za sprejem elektronske pošte in kvalificirano elektronsko potrdilo za oddajo vlog in zahtevkov za izplačilo;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LAS mora imeti vzpostavljeno lastno spletno stran, na kateri mora objavljati javne pozive za izbor operacij, ki so predmet sofinanciranja v okviru podukrepa »Podpora za izvajanje operacij v okviru strategije lokalnega razvoja, ki ga vodi skupnost«, rezultate izbora operacij in ažurno objavljati vse druge informacije namenjene večji informiranosti upravičencev;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LAS mora določiti naslov za sprejem pošte.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Poleg nalog iz tretjega odstavka 34. člena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 xml:space="preserve"> mora LAS opravljati naslednje naloge: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SLR določiti, s sredstvi katerega zadevnega sklada uresničuje cilje SLR;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animacija območja, zagotavljanje informacij zainteresiranim prebivalcem na območju LAS, spodbujanje izvajanja operacij ter pomoč potencialnim upravičencem pri pripravi operacij;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pripraviti SLR za celotno programsko obdobje in biti sposoben uresničevati cilje, zastavljene v SLR;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spremljati in vrednotiti ter skrbeti za pravilno izvajanje operacij v skladu s SLR in tudi za doseganje mejnikov in ciljev operacij ter imeti pregled nad izvajanjem operacij tudi po izplačilu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izvajati postopke za izbor operacij, izbrati operacije in jih predložiti v končno potrditev v skladu s postopki zadevnega sklada;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skrbeti za informiranost upravičencev v zvezi s pravicami in dolžnostmi tudi po zadnjem izplačilu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zagotoviti posredovanje vlog ter zahtevke za izplačilo za posamezne podukrepe iz 8. člena te uredbe, v skladu posebnimi pogoji zadevnega sklada iz te uredbe;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predhodno preverjati upravičenost stroškov, skladnost s SLR in operativnimi programi, preverjati, ali imajo nosilci operacij zmogljivosti za izvajanje operacij in zakonitost izvedenih operacij;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sodelovati z organi, kot jih določata 3. in 4. člen te uredbe, revizijskimi organi ter drugimi nadzornimi organi vseh zadevnih skladov;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pripravljati letna poročila o izvajanju SLR v skladu s drugim odstavkom 49. člena te uredbe;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pred posredovanjem zahtevka za izplačilo preveriti, da so sofinancirane operacije označene, v skladu s pravili označevanja, določenimi za zadevni sklad;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prvi letni načrt aktivnosti za tekoče leto mora posredovati najpozneje do vložitve prvega zahtevka za podukrep »Podpora za tekoče stroške in stroške animacije«;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vsako nadaljnje leto pa do 31. decembra na elektronski naslov gp.mkgp@gov.si poslati letni načrt aktivnosti za podukrep »Podpora za tekoče stroške in stroške animacije«. Obrazec za izdelavo letnega načrta aktivnosti je dostopen na spletnih straneh zadevnih organov upravljanja;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urediti dostop do ustreznega informacijskega sistema zadevnega sklada pred vlaganjem vlog in zahtevkov za izplačilo v informacijski sistem;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imenovati naslednje organe: predsednika, skupščino, organ upravljanja, ocenjevalno komisijo in nadzorni organ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pripraviti dokumente za delovanje LAS, v katerih mora določiti člane posameznega organa iz prejšnje točke in jih javno objaviti na spletni strani LAS.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(vodilni partner)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Naloge vodilnega partnerja: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zastopa LAS v upravnih in finančnih zadevah;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upravlja transakcijski račun LAS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vse druge naloge, ki izhajajo iz pogodbe med LAS in vodilnim partnerjem.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Vodilni partner mora biti kadrovsko, finančno in upravno sposoben voditi LAS. Zagotoviti mora operativno delovanje.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Med LAS in vodilnim partnerjem mora biti vzpostavljeno pogodbeno razmerje, iz katerega izhaja tudi obseg nalog in finančno ovrednotenje.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nakazilo finančnih sredstev iz naslova te uredbe mora za LAS zagotoviti ločen transakcijski račun.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Vzpostavljen mora imeti ločen računovodski sistem ali ustrezne računovodske kode za vse transakcije, opravljene v okviru transakcijskega 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Zagotoviti mora preglednost svojega delovanja in zagotoviti sledljivost in nadzor nad zakonito porabo javnih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(strategija lokalnega razvoja)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SLR mora biti izdelana za posamezno območje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SLR mora prispevati k uresničevanju horizontalnih ciljev Evropske unije, ki so blaženje podnebnih sprememb in prilagajanje nanje, okolje in inovacije.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SLR mora biti v skladu s potrebami in cilji vseh operativnih programov, katerih skladi so vključeni v izvajanje CLLD na območju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V primeru EKSRP mora SLR prispevati k šesti prednostni nalogi, določeni v 5. členu </w:t>
      </w:r>
      <w:hyperlink r:id="rId16" w:tgtFrame="_blank" w:tooltip="to EUR-Lex" w:history="1">
        <w:r>
          <w:rPr>
            <w:rFonts w:ascii="Arial" w:eastAsia="Arial" w:hAnsi="Arial" w:cs="Arial"/>
            <w:color w:val="0000EE"/>
            <w:sz w:val="21"/>
            <w:szCs w:val="21"/>
            <w:u w:val="single" w:color="0000EE"/>
          </w:rPr>
          <w:t>Uredbe 1305/2013/EU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V primeru ESRR mora SLR prispevati k peti prednostni naložbi devete prednostne osi OP EKP 2014–2020, določeni v točki (d) devetega odstavka 5. člena </w:t>
      </w:r>
      <w:hyperlink r:id="rId7" w:tgtFrame="_blank" w:tooltip="to EUR-Lex" w:history="1">
        <w:r>
          <w:rPr>
            <w:rFonts w:ascii="Arial" w:eastAsia="Arial" w:hAnsi="Arial" w:cs="Arial"/>
            <w:color w:val="0000EE"/>
            <w:sz w:val="21"/>
            <w:szCs w:val="21"/>
            <w:u w:val="single" w:color="0000EE"/>
          </w:rPr>
          <w:t>Uredbe 1301/2013/EU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V primeru ESPR mora SLR prispevati k četrti prednostni nalogi Evropske unije, določeni v 6. členu </w:t>
      </w:r>
      <w:hyperlink r:id="rId33" w:tgtFrame="_blank" w:tooltip="to EUR-Lex" w:history="1">
        <w:r>
          <w:rPr>
            <w:rFonts w:ascii="Arial" w:eastAsia="Arial" w:hAnsi="Arial" w:cs="Arial"/>
            <w:color w:val="0000EE"/>
            <w:sz w:val="21"/>
            <w:szCs w:val="21"/>
            <w:u w:val="single" w:color="0000EE"/>
          </w:rPr>
          <w:t>Uredbe 508/2014/EU</w:t>
        </w:r>
      </w:hyperlink>
      <w:r>
        <w:rPr>
          <w:rFonts w:ascii="Arial" w:eastAsia="Arial" w:hAnsi="Arial" w:cs="Arial"/>
          <w:sz w:val="21"/>
          <w:szCs w:val="21"/>
        </w:rPr>
        <w:t>, in uresničevanju posebnega cilja »spodbujanje gospodarske rasti, socialne vključenosti, ustvarjanja delovnih mest ter podpiranja zaposljivosti in mobilnosti delovne sile v obalnih in celinskih skupnostih, ki so odvisne od ribištva in akvakulture, vključujoč diverzifikacijo dejavnosti v ribištvu in drugih sektorjih pomorskega gospodarstva«.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Zastavljeni cilji v SLR morajo izhajati iz analize lokalnih razvojnih potreb in razvojnih možnosti območja ter naslavljati dejanske izzive območja. Načrtovane aktivnosti morajo prispevati k doseganju lokalnih ciljev in potreb, kar prispeva k doseganju ciljev iz strategije Evropske unije za pametno, trajnostno in vključujočo rast.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LAS mora ob pripravi SLR izhajati iz štirih tematskih področij ukrepanja, kot so določena v prvem odstavku 7. člena te uredbe. V SLR mora opredeliti tista tematska področja ukrepanja, ki so relevantna za posamezno lokalno območje.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LAS pripravi SLR najmanj v višini predvidenega finančnega okvira, določenega na podlagi informativnega izračuna v skladu s sedmim odstavkom 56. člena, petim odstavkom 68. člena ter tretjim in četrtim odstavkom 75.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Lokalno partnerstvo lahko v SLR poleg pogojev za upravičenost, ki so določeni v okviru podukrepa »Podpora za izvajanje operacij v okviru strategije lokalnega razvoja, ki ga vodi skupnost«, in pogojev, ki so določeni za zadevni sklad, opredeli dodatne pogoje za upravičenost.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(obvezna poglavja SLR)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Obvezna poglavja v SLR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opredelitev območja in prebivalstva, zajetega v SLR;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analiza razvojnih potreb in možnosti območja LAS, vključno z analizo prednosti, slabosti, priložnosti in nevarnosti (v nadaljnjem besedilu: SWOT-analiza);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podroben opis tematskih področij ukrepanja iz prvega odstavka 7. člena te uredbe;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opis in način doseganja ter zasledovanja horizontalnih ciljev Evropske unije iz drugega odstavka prejšnjega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opis SLR in njenih ciljev vključno z določitvijo mejnikov in ciljnih vrednosti kazalnikov, ki omogočajo spremljanje učinkovitosti iz drugega odstavka 19. člena te uredbe, opis celovitega in inovativnega značaja SLR in hierarhije ciljev, vključno z jasnimi in merljivimi cilji učinkov ali rezultatov. Rezultati so lahko izraženi kvalitativno ali kvantitativno, vključno z oceno okoljskih učinkov;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opis postopka vključitve skupnosti v pripravo SLR;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akcijski načrt, iz katerega izhaja opis prenosa ciljev v ukrepe, odgovornost za izvajanje ukrepov, vključno s časovno opredelitvijo letnih aktivnosti;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opis sistema spremljanja in vrednotenja SLR, opredeliti je potrebno teme in aktivnosti vrednotenja, način zbiranja podatkov, časovni okvir, človeške in finančne vire ter način upoštevanja priporočil vrednotenj;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opis postopka določitve vodilnega partnerja LAS;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opis nalog, odgovornosti in postopkov sprejemanja odločitev organov LAS iz 15. točke 12. člena te uredbe;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v SLR morajo biti opredeljena natančna merila za izbor operacij in opisan postopek izbora in potrjevanja operacij, vključno s pravili za delovanje LAS in ocenjevalnih komisij. V SLR mora biti tudi opisano, na kakšen način se zagotavlja transparentnost postopkov in prepreči konflikt interesov. Pri določitvi meril za izbor operacij mora lokalno partnerstvo izhajati iz skupnih načel, in sicer: prispevek k doseganju ciljev SLR, prispevek k doseganju horizontalnih ciljev Evropske unije, okoljska trajnost, socialna vzdržnost, ekonomska trajnost, priključitev več sektorjev in vpliv na območje LAS. Lokalno partnerstvo lahko v SLR opredeli dodatna posebna merila za izbor operacij, če ta zasledujejo cilje SLR;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finančni načrt, vključno s finančno razdelitvijo po zadevnih skladih iz te uredbe v skladu s finančnim okvirjem.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Lokalno partnerstvo mora SLR priložiti tudi osebno izkaznico, ki vsebuje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lokalnega partnerstva,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naslov, naslov spletne strani, naslov varnega elektronskega predala,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vodilnega partnerja LAS,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številko transakcijskega računa LAS,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ustanovitvi lokalnega partnerstva in članih lokalnega partnerstva,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velikost območja, ki ga zajema SLR (površina, število prebivalcev, občine).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Lokalno partnerstvo mora k SLR priložiti tudi pogodbo z vodilnim partnerjem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Lokalno partnerstvo mora k SLR priložiti tudi osnutek javnega poziva za izbor operacij iz naslova podukrepa »Podpora za izvajanje operacij v okviru strategije lokalnega razvoja, ki ga vodi skupnost«.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Lokalno partnerstvo mora k SLR priložiti tudi indikativno listo operacij sodelovanja LAS, ki bodo sofinancirane s sredstvi ESRR.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SLR se izdela na obrazcu iz Priloge 7, ki je sestavni del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(izbor in potrditev LAS in SLR)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Lokalno partnerstvo mora izdelati SLR in ga posredovati v pregled Koordinacijskemu odboru CLLD, v skladu s tretjim odstavkom tega člena, najpozneje v roku dvanajstih mesecev od objave javnega poziva iz 80.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SLR mora biti pripravljen na obrazcu iz šestega odstavka prejšnjega člena in mora vsebovati vsa poglavja in priloge iz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Lokalno partnerstvo mora SLR iz prvega odstavka tega člena poslati priporočeno prek izvajalca poštnih storitev na naslov Koordinacijskega odbora CLLD: Ministrstvo za kmetijstvo, gozdarstvo in prehrano, Dunajska cesta 22, 1000 Ljubljana ali oddati na vložišču MKGP.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Koordinacijski odbor CLLD obravnava predložene SLR v treh časovnih obdobjih. V prvem izboru obravnava SLR, ki so predložene v obdobju od objave javnega poziva iz 80. člena te uredbe do 31. oktobra 2015, v drugem izboru se obravnavajo SLR, predložene v obdobju od 1. novembra 2015 do 31. januarja 2016, v tretjem izboru se obravnavajo SLR, predložene od 1. februarja 2016 do roka, določenega v prvem odstavku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Koordinacijski odbor CLLD preveri pravočasnost in popolnost SLR, zahteva odpravo pomanjkljivosti ter preveri izpolnjevanje pogojev iz 11., 12., 13., 14. in 15.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Koordinacijski odbor CLLD oceni lokalna partnerstva in SLR v skladu s 17. členom te uredbe ter na podlagi meril za izbor, določenih v Prilogi 3, ki je sestavni del te uredbe. Koordinacijski odbor CLLD pripravi mnenje o izboru SLR in ga predloži v potrditev: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sklada EKSRP ali ESPR organu upravljanja sklada EKSRP ali ESPR,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sklad ESRR posredniškemu organu sklada ESRR.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Odločbo o potrditvi oziroma zavrnitvi SLR in LAS izda organ upravljanja glavnega sklada, razen za sklad ESRR, kjer na podlagi odločitve o podpori organa upravljanja odločbo o potrditvi oziroma zavrnitvi SLR in LAS izda MGRT. Če je glavni sklad EKSRP ali ESPR mora organ upravljanja sklada EKSRP ali ESPR pred izdajo odločbe o potrditvi oziroma zavrnitvi SLR in LAS pridobiti soglasje posredniškega organa sklada ESRR. Če je glavni sklad ESRR, mora posredniški organ sklada ESRR pred izdajo odločbe o potrditvi oziroma zavrnitvi SLR in LAS pridobiti soglasja organa upravljanja EKSRP oziroma ESPR.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(8) V odločbi iz prejšnjega odstavka se poleg potrditve SLR in LAS določi finančni okvir, namenjen izvedbi podukrepov, določenih v 8. členu te uredbe, ter druge pristojnosti, kot jih določajo peti odstavek 33. člena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 xml:space="preserve"> in predpisi, ki urejajo izvajanje CLLD.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(merila za izbor SLR in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Izbor SLR in LAS temelji na podlagi meril za izbor, ki so določena v Prilogi 3 te uredbe in temeljijo na načelih, določenih v PS 2014–2020,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usklajenost SLR z razvojnimi potrebami območja,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tematska področja ukrepanja,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vsebinska usklajenost med posameznimi poglavji SLR,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usklajenost akcijskega načrta,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vključenost lokalnih akterjev v pripravo SLR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ustreznost in učinkovitost partnerstva.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Minimalni prag za odobritev SLR je doseženih najmanj 20 točk pri merilu »Vsebinska usklajenost med posameznimi poglavji SLR« ter skupno 60 od 100 možnih točk na podlagi meril za izbor SLR, določenih v prvem odstavku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na posameznem območju oblikuje več kot eno lokalno partnerstvo ali se območja med sabo prekrivajo in se SLR obravnavajo v istem časovnem obdobju iz četrtega odstavka prejšnjega člena, se odobri SLR in LAS, ki je na podlagi meril za izbor iz Priloge 3 te uredbe skupno prejel višje število točk na podlagi naslednjih meril: Vsebinska usklajenost med posameznimi poglavji SLR in Ustreznost in učinkovitost partnerstva. SLR in LAS, ki prejme nižje število točk na podlagi teh meril, se zavrne zaradi neizpolnjevanja pogoja iz 6. točke 11.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na posameznem območju po potrditvi SLR in LAS oblikujejo nova partnerstva ali se območja med sabo prekrivajo z že potrjenimi LAS, se njihove vloge zavrnejo zaradi neizpolnjevanja pogoja iz 6. točke 11. člena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18. člen </w:t>
      </w:r>
    </w:p>
    <w:p>
      <w:pPr>
        <w:ind w:left="0" w:right="0"/>
        <w:rPr>
          <w:rFonts w:ascii="Arial" w:eastAsia="Arial" w:hAnsi="Arial" w:cs="Arial"/>
        </w:rPr>
      </w:pPr>
      <w:r>
        <w:rPr>
          <w:rFonts w:ascii="Arial" w:eastAsia="Arial" w:hAnsi="Arial" w:cs="Arial"/>
          <w:b/>
          <w:bCs/>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(pregled uspešnosti)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Zadevni organ upravljanja opravi pregled uspešnosti izvajanja SLR za vse LAS leta 2019 in preveri doseganje mejnikov iz drugega odstavka tega člena na dan 31. december 2018. Pregled ciljnih vrednosti kazalnikov iz drugega odstavka tega člena se opravi leta 2022. Pri pregledu uspešnosti se upoštevajo podatki ARSKTRP in MGRT na dan 30. junij 2022.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pregledu doseganja uspešnosti mejnikov se preverijo naslednji mejniki: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zaključenih operacij v primerjavi z odobrenimi operacijami,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delež dodeljenih sredstev v odločitvi o potrditvi operacije v primerjavi z določenim finančnim okvirjem,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delež izplačanih sredstev v primerjavi z dodeljenimi sredstvi v odločitvi o potrditvi operacije,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novo ustvarjenih delovnih mest,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sklad ESRR se preveri še število deležnikov na lokalni ravni, vključenih v izvajanje projektov CLLD, število prebivalcev, ki živijo na območju LAS, ter število podprtih partnerstev.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Šteje se, da so mejniki zadevnega sklada doseženi, če najmanj en mejnik iz prejšnjega odstavka na dan 31. decembra 2018 dosega najmanj 65 odstotkov vrednosti mejnika, določenega v SLR, pri čemer se mejniki z vrednostjo 0, določeno v SLR, ne upoštevajo.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Šteje se, da so ciljne vrednosti kazalnika zadevnega sklada dosežene, če mejniki iz drugega odstavka tega člena na dan 31. decembra 2023 dosegajo najmanj 85 odstotkov ciljne vrednosti kazalnika, določenega v SLR.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Rezerva za uspešnost se dodeli v skladu s posebnimi pogoji zadevnega sklada iz te uredbe med tiste LAS, ki dosegajo mejnike, določene v SLR na podlagi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LAS, ki dosega zastavljene mejnike, zadevni organ upravljanja do 30. junija 2019 obvesti o doseganju mejnikov in zahteva spremembo SLR. LAS mora spremembo SLR posredovati na naslov Koordinacijskega odbora CLLD iz tretjega odstavka 16. člena te uredbe najpozneje do 30. novembra 2019. Pri obravnavi sprememb se smiselno uporabljajo določbe 18. člena te uredbe.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PRIPRAVLJALNA PODPORA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podukrepa)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Namen podukrepa »Pripravljalna podpora« je okrepiti oblikovanje lokalnih partnerstev, krepitev institucionalne usposobljenosti ter usposabljanje in mreženje za pripravo in izvedbo SLR, ki ga vodi skupnost.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Pripravljalna podpora je namenjena za usposabljanje za lokalne zainteresirane strani, proučevanje zadevnega območja, dejavnosti povezane s pripravo SLR, vključno z dejavnostmi svetovanja in dejavnostmi v zvezi s posvetovanjem z zainteresiranimi stranmi, namenjena pa je tudi za upravne stroške, ki nastanejo med pripravo SLR.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Upravičenci do podpore so lokalna partnerstva, ki so pripravila SLR.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(upravičene aktivnosti)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Upravičene aktivnosti: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usposabljanje lokalnih zainteresiranih strani,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proučevanje zadevnega območja (vključno s študijami izvedljivosti za nekatere operacije, ki jih je treba predvideti v SLR),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priprava in izdelava SLR, vključno s stroški posvetovanja z zainteresiranimi stranmi z namenom priprave SLR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upravni stroški lokalnih partnerstev (operativni stroški in stroški osebja).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upravičenost)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Pogoji za upravičenost do javne podpore: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lokalno partnerstvo mora biti oblikovano v skladu z zahtevami za oblikovanje LAS,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pripravljena mora biti SLR in predložena v potrditev z vsemi zahtevanimi elementi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posamezno lokalno partnerstvo lahko v potrditev predloži največ eno SLR.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Obdobje upravičenosti je od 1. januarja 2014 do predložitve SLR v pregled Koordinacijskemu odboru CLLD.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Pogoj za izplačilo javne podpore za zavrnjeno SLR je izdelana SLR, ki vključuje vsa obvezna poglavja iz 15. člena te uredbe in izpolnjuje vse pogoje za upravičenost, vendar pri točkovanju na podlagi meril za izbor iz Priloge 3 te uredbe ne doseže minimalnega praga za odobritev SLR, določenega v drugem odstavku 17. člena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Javna podpora za potrjeno SLR se izplača v obliki pavšalnega zneska v višini 20.000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Javna podpora za zavrnjeno SLR iz tretjega odstavka prejšnjega člena se izplača na podlagi dejansko nastalih in plačanih stroškov v povezavi z upravičenimi aktivnostmi določenimi v 22. členu te uredbe. V tem primeru je najvišji znesek javne podpore 10.000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Pripravljalna podpora se izplača iz naslova vseh v SLR vključenih skladov na posameznem območju lokalnega partnerstva. Višina javne podpore oziroma delež prispevka posameznega sklada je odvisna od višine finančnega okvira posameznega vključenega sklada. Delež podpore posameznega sklada in višina izplačila se določita v odločbi o potrditvi SLR in LAS oziroma odločbi o zavrnitvi SLR in LAS.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za izplačilo)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višini nepovratne javne podpore iz podukrepa »Pripravljalna podpora« se odloči z odločbo o potrditvi oziroma zavrnitvi SLR in LAS iz 16.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Izplačilo pripravljalne podpore iz prvega odstavka prejšnjega člena za potrjeno SLR se izvede na podlagi pravnomočne odločbe o potrditvi SLR in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izplačilo pripravljalne podpore iz drugega odstavka prejšnjega člena za nepotrjeno SLR mora lokalno partnerstvo v šestih mesecih od pravnomočnosti odločbe o zavrnitvi SLR vložiti zahtevek za izplačilo na naslov Koordinacijskega odbora CLLD.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Izplačilo deleža prispevka posameznega sklada za pripravljalno podporo za potrjeno SLR na transakcijski račun iz četrtega odstavka 13. člena te uredbe izvede plačilna agencija oziroma posredniški organ zadevnega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Izplačilo pripravljalne podpore za nepotrjeno SLR izvede plačilna agencija oziroma posredniški organ zadevnega sklada na transakcijski račun iz četrtega odstavka 13. člena te uredbe.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PODPORA ZA IZVAJANJE OPERACIJ V OKVIRU STRATEGIJE LOKALNEGA RAZVOJA, KI GA VODI SKUPNOST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podukrepa)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Namen podukrepa »Podpora za izvajanje operacij v okviru strategije lokalnega razvoja, ki ga vodi skupnost« je sofinanciranje stroškov nastalih pri izvedbi operacij LAS ali lokalnih akterjev, katerih rezultati prispevajo k uresničevanju ciljev, zastavljenih v SLR.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Upravičenci do podpore so LAS ter fizične in pravne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prejšnjega odstavka pri ESRR fizične osebe, razen samostojnih podjetnikov posameznikov, niso upravičenci.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je upravičenec fizična ali pravna oseba iz prvega odstavka tega člena, je LAS zastopnik za vlaganje vlog in zahtevkov za izplačilo ter dopolnitev vlog in zahtevkov za izplačilo.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(upravičeni stroški)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Stroški se priznajo v obliki stroškov dela, materiala, naložb, storitev zunanjih izvajalcev in prispevka v naravi v skladu z 69. členom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 Do podpore je upravičen tudi nakup zemljišč v skladu s točko (b) tretjega odstavka 69. člena 1303/2013/EU.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Upravičeni so samo stroški, ki so nastali v skladu s posebnimi pogoji zadevnega sklada iz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Pri upravičenosti stroškov se upoštevajo določbe 65. člena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Stroški nakupa zemljišč lahko predstavljajo največ deset odstotkov upravičenih stroškov za zadevno operacijo.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Stroški storitev zunanjih izvajalcev za storitve arhitektov, inženirjev in svetovalcev, za pridobitev gradbene, projektne oziroma tehnične dokumentacije, za svetovanje v zvezi z okoljsko in ekonomsko trajnostjo, vključno s stroški za študije izvedljivosti, za geodetska in agronomska dela, za arheološka izkopavanja in arheološki nadzor ter za nadzor nad izvedbo gradbenih in obrtniških del so upravičeni, če so neposredno povezani s pripravo in izvedbo naložbe. Stroški za študije izvedljivosti ostanejo upravičen strošek tudi takrat, ko glede na njihove rezultate niso nastali nobeni stroški v okviru izvedbe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Stroški iz prejšnjega odstavka lahko predstavljajo največ deset odstotkov upravičenih stroškov za zadevno operacijo.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Stroški za namen koordinacije in vodenja operacije lahko zajemajo največ deset odstotkov upravičenih stroškov za zadevno operacijo.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Stroški promocije na programskem območju, ki se neposredno navezujejo na izvajanje operacije, lahko zajemajo največ deset odstotkov upravičenih stroškov za zadevno operacijo.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Do podpore niso upravičeni naslednji stroški: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stroški materiala, opreme in storitev, namenjenih za zasebno rabo,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splošni upravni stroški,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obresti za dolgove,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davek na dodano vrednost,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stroški priprave vloge in zahtevka za izplačilo,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bCs/>
          <w:sz w:val="21"/>
          <w:szCs w:val="21"/>
        </w:rPr>
        <w:t>(črtana)</w:t>
      </w:r>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rabljena oprema in mehanizacija,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štipendije in nagrade,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naročnine na časopise in drugo periodiko,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stroški izobraževanj in usposabljanj, ki niso neposredno povezani z aktivnostmi operacije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stroški izdelave dokumentacije, študij, analiz, ocen, strategij in drugih podobnih raziskav, kadar niso neposredno povezane z določeno operacijo.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upravičenost)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Operacija mora biti izbrana na podlagi javnega poziva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Ne glede na prejšnji odstavek mora biti v primeru, ko je upravičenec LAS, operacija izbrana v skladu s četrtim odstavkom 34. člena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Operacija mora biti skladna s cilji zadevnega sklada in prispevati k uresničevanju ciljev, določenih v SLR.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Operacija se ne sme začeti izvajati pred obdobjem upravičenosti v skladu s posebnimi pogoji zadevnega sklada iz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Upravičeni stroški posamezne operacije ne smejo biti financirani z drugimi javnimi sredstvi.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Operacija se izvede le na območju LAS, razen aktivnosti promocije iz osmega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Kadar je upravičenec do podpore LAS in operacija vključuje naložbo, mora LAS v vlogi določiti eno ali več pravnih oseb javnega prava, ki postanejo lastniki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Iz opisa operacije v vlogi mora biti razvidna zaprta finančna konstrukcija za celotno operacijo, kar pomeni, da mora prikazovati razdelitev posameznih stroškov po posameznih partnerjih in vrstah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(9) Podpore se ne dodeli podjetjem v težavah, kot jih določa 2. člen </w:t>
      </w:r>
      <w:hyperlink r:id="rId78" w:tgtFrame="_blank" w:tooltip="to EUR-Lex" w:history="1">
        <w:r>
          <w:rPr>
            <w:rFonts w:ascii="Arial" w:eastAsia="Arial" w:hAnsi="Arial" w:cs="Arial"/>
            <w:color w:val="0000EE"/>
            <w:sz w:val="21"/>
            <w:szCs w:val="21"/>
            <w:u w:val="single" w:color="0000EE"/>
          </w:rPr>
          <w:t>Uredbe Komisije (EU) št. 702/2014</w:t>
        </w:r>
      </w:hyperlink>
      <w:r>
        <w:rPr>
          <w:rFonts w:ascii="Arial" w:eastAsia="Arial" w:hAnsi="Arial" w:cs="Arial"/>
          <w:sz w:val="21"/>
          <w:szCs w:val="21"/>
        </w:rPr>
        <w:t xml:space="preserve"> z dne 25. junija 2014 o razglasitvi nekaterih vrst pomoči v kmetijskem in gozdarskem sektorju ter na podeželju za združljive z notranjim trgom z uporabo </w:t>
      </w:r>
      <w:hyperlink r:id="rId79" w:tgtFrame="_blank" w:tooltip="to EUR-Lex" w:history="1">
        <w:r>
          <w:rPr>
            <w:rFonts w:ascii="Arial" w:eastAsia="Arial" w:hAnsi="Arial" w:cs="Arial"/>
            <w:color w:val="0000EE"/>
            <w:sz w:val="21"/>
            <w:szCs w:val="21"/>
            <w:u w:val="single" w:color="0000EE"/>
          </w:rPr>
          <w:t>členov 107</w:t>
        </w:r>
      </w:hyperlink>
      <w:r>
        <w:rPr>
          <w:rFonts w:ascii="Arial" w:eastAsia="Arial" w:hAnsi="Arial" w:cs="Arial"/>
          <w:sz w:val="21"/>
          <w:szCs w:val="21"/>
        </w:rPr>
        <w:t xml:space="preserve"> in </w:t>
      </w:r>
      <w:hyperlink r:id="rId80" w:tgtFrame="_blank" w:tooltip="to EUR-Lex" w:history="1">
        <w:r>
          <w:rPr>
            <w:rFonts w:ascii="Arial" w:eastAsia="Arial" w:hAnsi="Arial" w:cs="Arial"/>
            <w:color w:val="0000EE"/>
            <w:sz w:val="21"/>
            <w:szCs w:val="21"/>
            <w:u w:val="single" w:color="0000EE"/>
          </w:rPr>
          <w:t>108 Pogodbe o delovanju Evropske unije</w:t>
        </w:r>
      </w:hyperlink>
      <w:r>
        <w:rPr>
          <w:rFonts w:ascii="Arial" w:eastAsia="Arial" w:hAnsi="Arial" w:cs="Arial"/>
          <w:sz w:val="21"/>
          <w:szCs w:val="21"/>
        </w:rPr>
        <w:t xml:space="preserve"> (UL L št. 193 z dne 1. 7. 2014, str.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Vsa potrebna dovoljenja oziroma soglasja, kot jih za izvedbo operacij določajo področni predpisi ter tržno primerljive pisne ponudbe, morajo biti izdana najpozneje do zaključka izbirnega postopka na ravni odločanja v LAS. Če je za operacijo predpisano gradbeno dovoljenje v skladu z zakonom, ki ureja graditev, mora biti pravnomočno gradbeno dovoljenje priloženo ob oddaji vloge.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Upravičenec mora izvesti operacijo najpozneje v treh letih od pravnomočnosti odločbe o potrditvi operacije s strani ARSKTRP oziroma od podpisa pogodbe o sofinanciranju z MGRT iz osmega odstavka 32. člena te uredbe, vendar najpozneje do 30. avgusta 2023 za sklada ESRR in ESPR ter najpozneje do 30. junija 2025 za sklad EKSRP.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Operacija mora biti izvedena v skladu s prijavljeno in s strani ARSKTRP ali MGRT odobreno vsebino ter področno zakonodajo.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Nepremičnina, na kateri se opravlja izvršba v skladu s predpisi, ki urejajo izvršbo in zavarovanje, ne more biti predmet podpore po tej uredbi.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Upravičenci, ki vodijo računovodstvo v skladu z nacionalnimi predpisi in so vključeni v izvajanje operacij, morajo za upravičene in dejansko nastale stroške voditi ločeno računovodstvo ali ustrezno računovodsko kodo za vse transakcije v zvezi z operacijo.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Upravičenec, ki je pravna ali fizična oseba, ima lahko na dan oddaje vloge do 50 eurov neporavnanih zapadlih davčnih obveznosti do države. Če za sklad EKSRP in ESPR ta pogoj ni izpolnjen, ARSKTRP upravičenca pozove, da zapadle neporavnane davčne obveznosti poravna v osmih dneh od vročitve poziva.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Ne glede na enajsti odstavek tega člena lahko upravičenec za sklad ESRR do 15. septembra zaprosi za podaljšanje roka za izvedbo operacije, če na prizadetih območjih zaradi poplav, plazov, vetroloma in neurja ali njihovih posledic julija in avgusta 2023 obveznosti ne more izpolniti do 30. avgusta 2023, in zaprosilu priloži ustrezna dokazila. Rok se lahko podaljša najdlje do 30. oktobra 2023.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Podpora se dodeli v obliki nepovratne finančne podpore.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Stopnjo javne podpore posamezne operacije določi LAS do zgornje meje, določene v finančnih določbah zadevnega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določitvi stopnje podpore se upošteva pravila državnih pomoči v skladu s 54. členom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Najnižji znesek javne podpore za posamezno operacijo je 2.000 eurov, razen za sklad ESRR, kjer je najnižji znesek javne podpore za posamezno operacijo 5.000 eurov. Najvišji znesek javne podpore je določen v finančnih določbah zadevnega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vrednost posamezne operacije znaša več kot 20.000 eurov, se lahko izvaja v treh fazah, s tem, da posamezni zahtevek za izplačilo ne sme biti nižji od 5.000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(merila za izbor operacij)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Lokalno partnerstvo mora v SLR opredeliti merila za izbor operacij iz naslova tega podukrepa.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Merila za izbor operacij iz naslova tega podukrepa morajo med drugim temeljiti na naslednjih načelih: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prispevek k doseganju ciljev SLR,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prispevek k doseganju horizontalnih ciljev,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okoljska trajnost,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socialna vzdržnost,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vključenost partnerjev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vpliv na območje LAS.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(postopki za izbor operacij)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LAS mora objaviti javni poziv za izbor operacij, najmanj en mesec pred izborom operacij.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Izbirni postopek operacij, v katerih je upravičenec LAS, mora biti vnaprej določen v SLR.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LAS mora izbrati operacije na transparenten način v skladu s postopkom in merili za izbor, opredeljenimi v SLR.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Izbirni postopek operacij mora biti v skladu z 11. točko prvega odstavka 15. člena te uredbe vnaprej določen v SLR, dokumentiran, pregleden in mora omogočati dopolnitev in razjasnitev operacij, možnost pritožbe ter preprečevati konflikt interesov pri izbiri operacij. Iz ocenjevanja posamezne vloge na javni poziv se mora izločiti vsak, ki je kakorkoli povezan s prijaviteljem operacije (npr. sorodstvene vezi, prijavitelj operacije, članstvo v društvu, organizaciji ali delovno razmerje). O poteku izbirnega postopka operacij mora biti zagotovljena revizijska sled tako, da je mogoče kadarkoli ugotoviti celoten potek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določanju rokov za dopolnitev vloge in odločitev o vlogi mora LAS smiselno upoštevati določbe zakona, ki ureja splošni upravi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LAS mora operacije, izbrane na podlagi javnega poziva, predložiti v odobritev ARSKTRP ali MGRT.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Poziv na dopolnitev vloge oziroma zahtevka za izplačilo sredstev se posreduje na naslov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ARSKTRP oziroma MGRT odločita o odobritvi oziroma zavrnitvi operacije, obvestilo o odločitvi pa se posreduje LAS. MGRT z upravičencem, ki mu je bila odobrena operacija za sofinanciranje s sredstvi ESRR, sklene pogodbo o sofinanciranju.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Ne glede na dvanajsti odstavek 29. člena te uredbe, lahko upravičenec v obdobju izvajanja operacije in pred nastankom sprememb največ dvakrat zaprosi za spremembo operacije v skladu s posebnimi pogoji, določenimi v tej uredbi za zadevni sklad.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PRIPRAVA IN IZVAJANJE DEJAVNOSTI SODELOVANJA LOKALNE AKCIJSKE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podukrepa)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Namen podukrepa »Priprava in izvajanje dejavnosti sodelovanja lokalne akcijske skupine« je sofinanciranje stroškov LAS, ki nastanejo pri izvajanju posameznih operacij sodelovanja LAS tako znotraj države (sodelovanje med LAS) kot z območji v različnih državah članicah Evropske unije ali z območji v tretjih državah (transnacionalno sodelovanje).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Upravičenci do podpore so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LAS v sodelovanju z drugimi LAS v Republiki Sloveniji ali s skupino lokalnih javno-zasebnih partnerjev z drugih območij EU ali tretjih držav pripravi in izvede operacijo sodelovanja LAS.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(upravičeni stroški)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Upravičeni so le stroški povezani s skupnimi operacijami, ki imajo jasno opredeljen rezultat operacije in jasno opredelijo koristi za območje. Operacija je lahko osredotočena tudi v krepitev zmogljivosti in izmenjavo izkušenj v zvezi z lokalnim razvojem, npr. publikacijami, seminarji, namenjenimi usposabljanju, izmenjavo osebja z namenom vzpostavitve skupnih metod dela in koordiniranega ter skupnega dela na razvoju območja.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Stroški se priznajo v obliki stroškov dela, materiala, naložb, storitev zunanjih izvajalcev in prispevka v naravi v skladu z 69. členom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Upravičeni so samo stroški, ki so nastali v skladu s posebnimi pogoji zadevnega sklada iz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Pri upravičenosti stroškov se upoštevajo določbe 65. člena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Stroški storitev zunanjih izvajalcev za storitve arhitektov, inženirjev in svetovalcev, za pridobitev gradbene, projektne oziroma tehnične dokumentacije, za svetovanje v zvezi z okoljsko in ekonomsko trajnostjo, vključno s stroški za študije izvedljivosti, za geodetska in agronomska dela, za arheološka izkopavanja in arheološki nadzor ter za nadzor nad izvedbo gradbenih in obrtniških del so upravičeni, če so neposredno povezani s pripravo in izvedbo naložbe. Stroški za študije izvedljivosti ostanejo upravičen strošek tudi takrat, ko glede na njihove rezultate niso nastali nobeni stroški v okviru izvedbe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Stroški iz prejšnjega odstavka lahko predstavljajo največ deset odstotkov upravičenih stroškov za zadevno operacijo.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Stroški za namen koordinacije in vodenja projekta lahko zajemajo največ deset odstotkov upravičenih stroškov za zadevno operacijo.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Stroški promocije na programskem območju sodelujočih partnerjev, ki se neposredno navezujejo na izvajanje operacije, lahko zajemajo največ deset odstotkov upravičenih stroškov za zadevno operacijo.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Do podpore niso upravičeni naslednji stroški: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splošni upravni stroški,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obresti za dolgove,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davek na dodano vrednost,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stroški priprave vloge in zahtevka za izplačilo,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bCs/>
          <w:sz w:val="21"/>
          <w:szCs w:val="21"/>
        </w:rPr>
        <w:t>(črtana)</w:t>
      </w:r>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rabljena oprema in mehanizacija,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štipendije in nagrade,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naročnine na časopise in drugo periodiko,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stroški izobraževanj in usposabljanj, ki niso neposredno povezani z aktivnostmi operacije,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stroški izdelave dokumentacije, študij, analiz, ocen, strategij in drugih podobnih raziskav, kadar niso neposredno povezane z določeno operacijo.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upravičenost)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Operacija mora biti v skladu s PS 2014–2020 in prispeva k uresničevanju ciljev določenih v SLR.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Operacija mora biti skladna s cilji zadevnega sklada in prispevati k uresničevanju ciljev, določenih v SLR.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Operacija se ne sme začeti izvajati pred obdobjem upravičenosti zadevnega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Upravičeni stroški posamezne operacije so tisti, ki še niso bili financirani z drugimi javnimi sredstvi.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Operacija se izvede na območju sodelujočih partnerjev, v skladu s 70. členom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 razen aktivnosti promocije iz osmega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Med partnerji v operaciji sodelovanja mora biti sklenjena pogodba o sodelovanju in jasna opredelitev načrtovanih aktivnosti s predvidenim finančnim okvirjem posameznega partnerja v operaciji sodelovanja.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Kadar je upravičenec do podpore LAS in operacija vključuje naložbo, mora LAS v vlogi določiti eno ali več pravnih oseb javnega prava, ki postanejo lastniki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Iz opisa operacije v vlogi mora biti razvidna zaprta finančna konstrukcija za celotno operacijo, kar pomeni, da mora prikazovati razdelitev posameznih stroškov po posameznih partnerjih in vrstah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V vlogi morajo biti opredeljeni rezultati operacije in koristi za območje.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Ob oddaji vloge morajo biti za operacijo izdana vsa potrebna dovoljenja, kot jih za izvedbo operacije določa področna zakonodaja.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LAS mora izvesti operacijo najpozneje v treh letih od pravnomočnosti odločbe o potrditvi operacije s strani ARSKTRP oziroma od podpisa pogodbe o sofinanciranju z MGRT iz sedmega odstavka 38. člena te uredbe, vendar za sklada ESRR in ESPR najpozneje do 30. avgusta 2023, za sklad EKSRP pa najpozneje do 30. junija 2025.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LAS mora razširjati informacije o rezultatih in dosežkih operacije in z njimi seznaniti prebivalce območja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Operacija mora biti izvedena v skladu s prijavljeno in s strani ARSKTRP ali MGRT odobreno vsebino ter področno zakonodajo.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Nepremičnina, na kateri se opravlja izvršba v skladu s predpisi, ki urejajo izvršbo in zavarovanje, ne more biti predmet podpore po tej uredbi.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Ne glede na enajsti odstavek tega člena lahko upravičenec za sklad ESRR do 15. septembra 2023 zaprosi za podaljšanje roka za izvedbo operacije, če na prizadetih območjih zaradi poplav, plazov, vetroloma in neurja ali njihovih posledic julija in avgusta 2023 obveznosti ne more izpolniti do 30. avgusta 2023, in zaprosilu priloži ustrezna dokazila. Rok se lahko podaljša najdlje do 30. oktobra 2023.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Podpora se dodeli v obliki nepovratne finančne podpore.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Najvišja stopnja javne podpore je lahko 85 odstotkov upravičenih stroškov posamezne operacije.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določitvi stopnje podpore se upoštevajo pravila državnih pomoči v skladu s 54. členom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Najnižji znesek javne podpore je 5.000 eurov. Najvišji znesek javne podpore je določen v finančnih določbah zadevnega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Posamezni LAS je upravičen do sofinanciranja upravičenih stroškov le za svoje aktivnosti.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Kadar vrednost posamezne operacije znaša več kot 20.000 eurov, se lahko izvaja v treh fazah, s tem, da posamezni zahtevek za izplačilo ne sme biti nižji od 5.000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(postopki za izbor operacij ESRR in ESPR)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Postopek izbora operacij LAS mora biti vnaprej določen v SLR in v skladu s četrtim odstavkom 34. člena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Postopek odločitve o sofinanciranju operacije mora biti dokumentiran, pregleden, preprečevati mora konflikt interesov pri izbiri operacij.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poteku izbora operacij mora biti zagotovljena revizijska sled tako, da je mogoče kadarkoli ugotoviti celoten potek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Operacijo, ki je predmet sofinanciranja iz naslova tega podukrepa, mora odobriti organ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LAS mora izbrano operacijo, ki je predvidena za sofinanciranje, predložiti v potrditev ARSKTRP oziroma MGRT.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Poziv na dopolnitev vloge oziroma zahtevka za izplačilo se posreduje na naslov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ARSKTRP ali MGRT odloči o odobritvi oziroma zavrnitvi operacije. Odločba ARSKTRP se pošlje LAS. MGRT z upravičencem, ki mu je bila odobrena operacija za sofinanciranje s sredstvi ESRR, sklene pogodbo o sofinanciranju.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trinajsti odstavek 36. člena te uredbe lahko LAS v obdobju izvajanja operacije in pred nastankom sprememb največ dvakrat zaprosi za spremembo operacije v skladu s pogoji, določenimi za zadevni sklad.</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PODPORA ZA TEKOČE STROŠKE IN STROŠKE ANIMACIJE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podukrepa)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Podpora iz podukrepa »Podpora za tekoče stroške in stroške animacije« je namenjena za sofinanciranje stroškov, ki so nastali pri upravljanju in delovanju LAS, vključno s spremljanjem in vrednotenjem SLR, animaciji območja LAS in pomoči potencialnim upravičencem za razvijanje projektnih idej in pripravo operacij.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Upravičenci do podpore so LAS.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(upravičeni stroški)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Upravičeni stroški v okviru tega podukrepa so tekoči stroški upravljanja izvajanja SLR in stroški animacije lokalnega območja, ki se delijo 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stroške osebja, ki zajemajo neposredne stroške osebja iz 18. točke 2. člena te uredbe in stroške za službena potovanja,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stroške storitev zunanjih izvajalcev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posredne stroške iz 19. točke 2.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okviru tega podukrepa so upravičene aktivnosti: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upravljanje izvajanja SLR, kot so: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upravljanje in delovanje LAS,</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usposabljanje osebja za potrebe upravljanja in delovanja LAS,</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aktivnosti v zvezi z odnosi z javnostmi in promocijo LAS, vključno z mreženjem,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xml:space="preserve">-  aktivnosti, povezane s spremljanjem in vrednotenjem SLR, v skladu s točko (g) tretjega odstavka 34. člena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animacija lokalnega območja: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aktivnosti, povezane z izmenjavo med zainteresiranimi stranmi, z namenom zagotavljanja informacij in spodbujanja SLR ter</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aktivnosti, namenjene podpori potencialnim upravičencem, z namenom oblikovanja in priprave operacij ter vlog.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Neposredni stroški osebja iz prve alineje prvega odstavka tega člena se priznajo v obliki standardnega stroška na enoto na podlagi točke (b) prvega odstavka 67. člena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 xml:space="preserve"> in znašajo 15,80 eura na uro, na osebo.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Posredni stroški iz tretje alineje prvega odstavka tega člena se določijo v obliki pavšalne stopnje iz točke (b) prvega odstavka 68. člena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 xml:space="preserve"> in znašajo 15 odstotkov upravičenih neposrednih stroškov osebja iz prve alineje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Stroški animacije lokalnega območja zajemajo najmanj 25 odstotkov nastalih stroškov v okviru predloženih zahtevkov za izplačilo v obdobju koledarskega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 podpore niso upravičeni naslednji stroški: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stroški materiala, opreme in storitev, namenjenih za zasebno rabo,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splošni upravni stroški,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prispevek v naravi,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obresti za dolgove,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davek na dodano vrednost (v nadaljnjem besedilu: DDV),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rabljena oprema in mehanizacija,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štipendije in nagrade,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stroški, nastali z izvajanjem nalog javnih služb,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stroški, ki so nastali z aktivnostmi, vezanimi na izvajanje ukrepov LEADER, ali stroški trajnostnega razvoja ribiških območij v okviru programskega obdobja 2007–2013.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Upravičeni so samo stroški, nastali po izdaji odločbe o potrditvi SLR in LAS.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upravičenost)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pridobitev podpore iz naslova tega podukrepa morajo biti izpolnjeni naslednji pogoji: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aktivnosti, za katere se zahteva sofinanciranje, morajo biti upravičene do sofinanciranja;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aktivnosti, na katere se nanaša zahtevek za izplačilo, morajo biti zaključene in se nanašati na obdobje, na katero se nanaša zahtevek za izplačilo;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tekoči stroški in stroški animacije morajo biti vodeni ločeno in jasno razmejeni med seboj;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vsi računi morajo biti pred vložitvijo zahtevka za izplačilo plačani.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sofinanciranje tekočih stroškov in stroškov animacije je določen glavni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Glavni sklad za sofinanciranje tekočih stroškov in stroškov animacije se določi v odločbi o potrditvi SLR in LAS iz šestega odstavka 16.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LAS črpa sredstva za namen izvajanja tega podukrepa iz naslova tistega sklada, ki je v odločbi o potrditvi SLR in LAS iz 16. člena te uredbe določen kot glavni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Posamezni LAS lahko za izvajanje tega podukrepa nameni največ 20 odstotkov skupnih javnih izdatkov kot so določeni v 15. točki 2. člena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 nastalih pri SLR, zmanjšanih za javno podporo za podukrep Pripravljalna podpora iz prvega odstavka 24.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Stopnja javne podpore je do 100 odstotkov upravičenih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LAS lahko v zahtevku za izplačilo določi nižjo stopnjo podpore.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Najnižji znesek javne podpore posameznega zahtevka za izplačilo iz naslova tega podukrepa je 5.000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(8) Ne glede na določbe prvega do tretjega odstavka tega člena se v skladu z </w:t>
      </w:r>
      <w:hyperlink r:id="rId73" w:tgtFrame="_blank" w:tooltip="to EUR-Lex" w:history="1">
        <w:r>
          <w:rPr>
            <w:rFonts w:ascii="Arial" w:eastAsia="Arial" w:hAnsi="Arial" w:cs="Arial"/>
            <w:color w:val="0000EE"/>
            <w:sz w:val="21"/>
            <w:szCs w:val="21"/>
            <w:u w:val="single" w:color="0000EE"/>
          </w:rPr>
          <w:t>Uredbo 2020/2220/EU</w:t>
        </w:r>
      </w:hyperlink>
      <w:r>
        <w:rPr>
          <w:rFonts w:ascii="Arial" w:eastAsia="Arial" w:hAnsi="Arial" w:cs="Arial"/>
          <w:sz w:val="21"/>
          <w:szCs w:val="21"/>
        </w:rPr>
        <w:t xml:space="preserve"> za financiranje tega podukrepa v obdobju, določenem v četrtem odstavku 44. člena te uredbe, uporabijo dodatna sredstva iz naslova podaljšanja programskega obdobja za sklad EKSRP.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(9) Ne glede na četrti odstavek tega člena se za financiranje tega podukrepa v skladu z </w:t>
      </w:r>
      <w:hyperlink r:id="rId73" w:tgtFrame="_blank" w:tooltip="to EUR-Lex" w:history="1">
        <w:r>
          <w:rPr>
            <w:rFonts w:ascii="Arial" w:eastAsia="Arial" w:hAnsi="Arial" w:cs="Arial"/>
            <w:color w:val="0000EE"/>
            <w:sz w:val="21"/>
            <w:szCs w:val="21"/>
            <w:u w:val="single" w:color="0000EE"/>
          </w:rPr>
          <w:t>Uredbo 2020/2220/EU</w:t>
        </w:r>
      </w:hyperlink>
      <w:r>
        <w:rPr>
          <w:rFonts w:ascii="Arial" w:eastAsia="Arial" w:hAnsi="Arial" w:cs="Arial"/>
          <w:sz w:val="21"/>
          <w:szCs w:val="21"/>
        </w:rPr>
        <w:t xml:space="preserve"> lahko nameni do 55 odstotkov dodatnih sredstev iz naslova podaljšanja programskega obdobja za sklad EKSRP.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(10) Ne glede na četrti odstavek tega člena javni izdatki podukrepa Podpora za tekoče stroške in stroške animacije v skladu s 35. členom </w:t>
      </w:r>
      <w:hyperlink r:id="rId81" w:tgtFrame="_blank" w:tooltip="to EUR-Lex" w:history="1">
        <w:r>
          <w:rPr>
            <w:rFonts w:ascii="Arial" w:eastAsia="Arial" w:hAnsi="Arial" w:cs="Arial"/>
            <w:color w:val="0000EE"/>
            <w:sz w:val="21"/>
            <w:szCs w:val="21"/>
            <w:u w:val="single" w:color="0000EE"/>
          </w:rPr>
          <w:t>Uredbe 1303/2015/EU</w:t>
        </w:r>
      </w:hyperlink>
      <w:r>
        <w:rPr>
          <w:rFonts w:ascii="Arial" w:eastAsia="Arial" w:hAnsi="Arial" w:cs="Arial"/>
          <w:sz w:val="21"/>
          <w:szCs w:val="21"/>
        </w:rPr>
        <w:t xml:space="preserve"> ob koncu izvajanja SLR ne smejo presegati 25 odstotkov skupnih javnih izdatkov, nastalih pri SLR, zmanjšanih za javno podporo za podukrep Pripravljalna podpora iz prvega odstavka 24. člena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(postopki za izplačilo)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LAS za izplačilo nepovratne javne podpore iz podukrepa »Podpora za tekoče stroške in stroške animacije« vlaga zahtevke za izplačilo na podlagi odločbe o potrditvi SLR in LAS iz 16. člena te uredbe v skladu s postopki glavnega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LAS lahko na naslov glavnega sklada letno vloži največ tri zahtevke za izplačilo. Zahtevke za izplačilo lahko vloži v roku 30 dni po preteku naslednjih mejnikov, in sicer 31. marec, 31. julij in 30. november.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je rok za vložitev zadnjega zahtevka za izplačilo v skladu s četrtim odstavkom 46.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Zahtevek za izplačilo dodatnih sredstev iz naslova podaljšanja programskega obdobja za sklad EKSRP na podlagi </w:t>
      </w:r>
      <w:hyperlink r:id="rId73" w:tgtFrame="_blank" w:tooltip="to EUR-Lex" w:history="1">
        <w:r>
          <w:rPr>
            <w:rFonts w:ascii="Arial" w:eastAsia="Arial" w:hAnsi="Arial" w:cs="Arial"/>
            <w:color w:val="0000EE"/>
            <w:sz w:val="21"/>
            <w:szCs w:val="21"/>
            <w:u w:val="single" w:color="0000EE"/>
          </w:rPr>
          <w:t>Uredbe 2020/2220/EU</w:t>
        </w:r>
      </w:hyperlink>
      <w:r>
        <w:rPr>
          <w:rFonts w:ascii="Arial" w:eastAsia="Arial" w:hAnsi="Arial" w:cs="Arial"/>
          <w:sz w:val="21"/>
          <w:szCs w:val="21"/>
        </w:rPr>
        <w:t xml:space="preserve"> se lahko v skladu z drugim odstavkom tega člena in 46. členom te uredbe vloži po odobritvi zadnjega zahtevka iz glavnega sklada.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VLOGA ZA DODELITEV PODPORE IN ZAHTEVEK ZA IZPLAČILO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(vloga za odobritev operacije)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Vlogo za odobritev operacije iz naslova podukrepa »Podpora za izvajanje operacij v okviru strategije lokalnega razvoja, ki ga vodi skupnost« in »Priprava in izvajanje dejavnosti sodelovanja lokalne akcijske skupine« sestavljajo prijavni obrazec in priloge, določene v Prilogi 8, ki je sestavni del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Za sklad ESRR LAS vlogo iz prejšnjega odstavka vloži v elektronski obliki v spletni aplikaciji MGRT. LAS se pred elektronskim izpolnjevanjem registrira na spletnem naslovu </w:t>
      </w:r>
      <w:hyperlink r:id="rId82" w:tgtFrame="_blank" w:tooltip="to URL" w:history="1">
        <w:r>
          <w:rPr>
            <w:rFonts w:ascii="Arial" w:eastAsia="Arial" w:hAnsi="Arial" w:cs="Arial"/>
            <w:color w:val="0000EE"/>
            <w:sz w:val="21"/>
            <w:szCs w:val="21"/>
            <w:u w:val="single" w:color="0000EE"/>
          </w:rPr>
          <w:t>https://drr-razpisi.gov.si/CLLD</w:t>
        </w:r>
      </w:hyperlink>
      <w:r>
        <w:rPr>
          <w:rFonts w:ascii="Arial" w:eastAsia="Arial" w:hAnsi="Arial" w:cs="Arial"/>
          <w:sz w:val="21"/>
          <w:szCs w:val="21"/>
        </w:rPr>
        <w:t xml:space="preserve"> in izpolni vsa polja v vlogi. V spletno aplikacijo vnese skenirane, izpolnjene, podpisane in žigosane priloge iz Priloge 8 te uredbe. Datum oddaje vloge v spletni aplikaciji se šteje za datum oddaje vloge.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sklad EKSRP in ESPR LAS vlogo iz prvega odstavka tega člena vloži na ARSKTRP v elektronski obliki, podpisano s kvalificiranim elektronskim podpisom. Priloge iz Priloge 8 te uredbe se predložijo kot skenogram.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Za elektronsko izpolnjevanje in vložitev vloge iz prejšnjega odstavka ARSKTRP vzpostavi spletno vstopno mesto na naslovu </w:t>
      </w:r>
      <w:hyperlink r:id="rId83" w:tgtFrame="_blank" w:tooltip="to URL" w:history="1">
        <w:r>
          <w:rPr>
            <w:rFonts w:ascii="Arial" w:eastAsia="Arial" w:hAnsi="Arial" w:cs="Arial"/>
            <w:color w:val="0000EE"/>
            <w:sz w:val="21"/>
            <w:szCs w:val="21"/>
            <w:u w:val="single" w:color="0000EE"/>
          </w:rPr>
          <w:t>http://e-kmetija.gov.si,</w:t>
        </w:r>
      </w:hyperlink>
      <w:r>
        <w:rPr>
          <w:rFonts w:ascii="Arial" w:eastAsia="Arial" w:hAnsi="Arial" w:cs="Arial"/>
          <w:sz w:val="21"/>
          <w:szCs w:val="21"/>
        </w:rPr>
        <w:t xml:space="preserve"> na katerem se vlagatelj ali njegov pooblaščenec prijavi v informacijski sistem ARSKTRP.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Zadnji rok za vložitev vloge za odobritev operacije iz prvega odstavka tega člena je za sklada ESRR in ESPR 30. junij 2022 ter za sklad EKSRP 30. junij 2023.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(zahtevek za izplačilo)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Nepovratna javna podpora se upravičencem izplačuje na podlagi zahtevkov za izplačilo.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se v primeru podukrepa »Pripravljalna podpora« znesek enkratne javne podpore za potrjeno SLR izplača na podlagi pravnomočne odločbe o potrditvi SLR in LAS iz šestega odstavka 16.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Rok za vložitev posameznega zahtevka za izplačilo za operacije iz podukrepa »Podpora za izvajanje operacij v okviru strategije lokalnega razvoja, ki ga vodi skupnost« in »Priprava in izvajanje dejavnosti sodelovanja lokalne akcijske skupine« se določi v odločbi o odobritvi operacije oziroma pogodbi o sofinanciranju iz osmega odstavka 32. člena in sedmega odstavka 38.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Rok za vložitev zadnjega zahtevka za izplačilo je za sklada ESRR in ESPR 30. avgust 2023 ter za sklad EKSRP 30. junij 2025.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sklad ESRR mora LAS pred vložitvijo zahtevka za izplačilo pridobiti dostop do informacijskega sistema, ki ga SVRK uporablja za izvajanje kohezijske politike 2014–2020.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sklad EKSRP in ESPR LAS zahtevek za izplačilo sredstev vloži na način, določen v tretjem in četrtem odstavku prejšnjega člena. Za sklad ESRR mora LAS zahtevek za izplačilo izpolniti in oddati v informacijskem sistemu v skladu s predpisom, ki ureja izvajanje kohezijske politike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Zahtevek za izplačilo vsebuje sestavine, določene v Prilogi 8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Pred vložitvijo posameznega zahtevka za izplačilo morajo biti posamezne aktivnosti izvedene oziroma pred vložitvijo zadnjega zahtevka za izplačilo mora biti zaključena celotna operacija. Vsi računi, ki jih upravičenec uveljavlja v zahtevku za izplačilo, morajo biti plačani in pridobljena morajo biti vsa potrebna dovoljenja in soglasja.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Zahtevku za izplačilo mora upravičenec priložiti: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izplačilo javne podpore iz naslova EKSRP ali ESPR:</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kopije računov, elektronskih računov oziroma e-račune, potrjene s strani LAS;</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kopije dokazil o plačilih;</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poročilo o opravljenem delu;</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č)   fotografije stanja na terenu pred gradnjo, med samimi fazami in po zaključku gradnje;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d)    kopije vseh veljavnih pogodb in aneksov k pogodbam, ki se nanašajo na uveljavljene stroške;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e)    gradbeni dnevnik, projektno dokumentacijo izvedenih del (PID) in knjigo obračunskih izmer v skladu s pravilnikom, ki ureja vsebino in način vodenja evidence izvajanja del na gradbišču, se predloži na zahtevo ARSKTRP;</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f)     pri gradbenih delih kopijo končne situacije v skladu z 61. členom Posebnih gradbenih uzanc (Uradni list SFRJ, št. 18/77), ki jo potrdi pooblaščeni nadzornik, oziroma natančno specifikacijo po vrstah gradbenih del, po cenah na enoto in porabljenih količinah;</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g)    v primeru postopka javnega naročanja vse dokumente v zvezi z oddajo javnega naročila in njegovo izvedbo;</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h)    pri uveljavljanju prispevka v naravi ustrezna dokazila o izvedbi in vrednosti stroška.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izplačilo javne podpore iz naslova ESRR: dokazila, ki so določena s predpisom, ki ureja izvajanje kohezijske politike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Vsa dokazila, priložena zahtevku za izplačilo iz prejšnjega odstavka, se morajo glasiti na upravičenca, pri operacijah, podprtih s sredstvi ESRR, lahko tudi na partnerja pri operaciji.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Javna podpora se izplača na podlagi popolnega zahtevka za izplačilo po opravljeni kontroli v skladu s 53. členom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Javna podpora se izplača na transakcijski račun upravičenca.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Ne glede na četrti odstavek tega člena lahko upravičenec za sklad ESRR do 15. septembra 2023 zaprosi za podaljšanje roka za vložitev zadnjega zahtevka za izplačilo, če na prizadetih območjih zaradi poplav, plazov, vetroloma in neurja ali njihovih posledic julija in avgusta 2023 obveznosti ne more izpolniti do 30. avgusta 2023, in zaprosilu priloži ustrezna dokazila. Rok se lahko podaljša najdlje do 30. oktobra 2023.</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VIII. OMEJITEV PODPORE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podpore)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Javna podpora se ne dodeli in izplača za tiste upravičene stroške, za katere je upravičenec že prejel sredstva državnega proračuna Republike Slovenije ali sredstva Evropske unije.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upravičenec po tej uredbi občina, ki je partnerica LAS, se lastna finančna sredstva sofinanciranja z vidika Evropske unije ne štejejo za že prejeta javna sredstva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podukrepa »Podpora za tekoče stroške in stroške animacije« se prispevek občin, ki so partnerice v LAS, z vidika Evropske unije ne šteje kot prejeta javna sredstva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Javna podpora se ne dodeli za naložbe zunaj ozemlja Republike Slovenije, razen pri operacijah iz naslova podukrepa »Priprava in izvajanje dejavnosti sodelovanja lokalne akcijske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(oblika podpore)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Podpora se dodeli v obliki nepovratne finančne podpore.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Stopnja sofinanciranja za sklada EKSRP je 80 odstotkov, 20 odstotkov pa iz naslova proračuna Republike Slovenije. Za sklad ESRR je stopnja sofinanciranja 80 odstotkov, 20 odstotkov pa se deli na nacionalni javni in zasebni prispevek. Za sklad ESPR je stopnja sofinanciranja 75 odstotkov, 25 odstotkov se financira iz naslova proračuna Republike Slovenije.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IX. OBVEZNOSTI PO IZPLAČILU PODPORE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v zvezi s sofinanciranimi operacijami)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Podprta naložba se mora uporabljati izključno za namen in dejavnost, za katero je bila javna podpora izplačana v skladu z 71. členom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LAS mora za obdobje izvajanja programa vsako leto do 31. marca za sklad EKSRP, za sklad ESRR in ESPR pa do 31. januarja, poročati o doseganju ciljev SLR in izpolnjevanju obveznosti za preteklo leto. Poročilo se za zadevni sklad izpolni in predloži v elektronski obliki, podpisano s kvalificiranim elektronskim podpisom, na elektronski naslov gp.mkgp@gov.si za sklada EKSRP in ESPR ter gp.mgrt@gov.si za sklad ESRR.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Poročilo o doseganju ciljev SLR vsebuje sestavine, določene v Prilogi 8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(hramba dokumentacije)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LAS mora hraniti vso dokumentacijo, ki je bila podlaga za ustanovitev LAS, določitev vodilnega partnerja in izbor operacij še najmanj pet let po zaključku izvajanja tega programskega obdobja, razen v primeru izjem, določenih v 71. členu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Upravičenec, ki prejme podporo na podlagi te uredbe, mora vso dokumentacijo, ki je bila podlaga za izplačilo podpore, hraniti še najmanj pet let od dneva zadnjega izplačila podpore, če ni v skladu s shemo državnih pomoči opredeljeno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(spremljanje in vrednotenje SLR)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LAS mora vzpostaviti sistem spremljanja in vrednotenja in zagotoviti vse potrebne informacije, potrebne za omogočanje spremljanja in vrednotenja posameznega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LAS mora spremljati izvajanje operacij in o tem poročati zadevnim organom upravljanja v skladu z drugim odstavkom 49.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skladu z 8. točko prvega odstavka 15. člena te uredbe je vrednotenje SLR naloga LAS. LAS lahko to nalogo opravi tudi v sodelovanju z zunanjim neodvisnim svetovalcem ali jo v celoti prenese na zunanjega neodvisnega izvajalca.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Zadevni organi upravljanja v sodelovanju z LAS vzpostavijo sistem usklajenega izvajanja spremljanja in vrednotenja.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 NEIZPOLNJEVANJE OBVEZNOSTI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(sankcije za neizpolnjevanje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Neizpolnitev ali kršitev obveznosti se v primeru financiranja iz naslova EKSRP sankcionira v skladu s 63. členom </w:t>
      </w:r>
      <w:hyperlink r:id="rId84" w:tgtFrame="_blank" w:tooltip="to EUR-Lex" w:history="1">
        <w:r>
          <w:rPr>
            <w:rFonts w:ascii="Arial" w:eastAsia="Arial" w:hAnsi="Arial" w:cs="Arial"/>
            <w:color w:val="0000EE"/>
            <w:sz w:val="21"/>
            <w:szCs w:val="21"/>
            <w:u w:val="single" w:color="0000EE"/>
          </w:rPr>
          <w:t>Uredbe 1306/2013/EU, 63. členom</w:t>
        </w:r>
      </w:hyperlink>
      <w:r>
        <w:rPr>
          <w:rFonts w:ascii="Arial" w:eastAsia="Arial" w:hAnsi="Arial" w:cs="Arial"/>
          <w:sz w:val="21"/>
          <w:szCs w:val="21"/>
        </w:rPr>
        <w:t xml:space="preserve"> </w:t>
      </w:r>
      <w:hyperlink r:id="rId53" w:tgtFrame="_blank" w:tooltip="to EUR-Lex" w:history="1">
        <w:r>
          <w:rPr>
            <w:rFonts w:ascii="Arial" w:eastAsia="Arial" w:hAnsi="Arial" w:cs="Arial"/>
            <w:color w:val="0000EE"/>
            <w:sz w:val="21"/>
            <w:szCs w:val="21"/>
            <w:u w:val="single" w:color="0000EE"/>
          </w:rPr>
          <w:t>Uredbe 809/2014/EU</w:t>
        </w:r>
      </w:hyperlink>
      <w:r>
        <w:rPr>
          <w:rFonts w:ascii="Arial" w:eastAsia="Arial" w:hAnsi="Arial" w:cs="Arial"/>
          <w:sz w:val="21"/>
          <w:szCs w:val="21"/>
        </w:rPr>
        <w:t xml:space="preserve"> in 41.a členom Zakona o kmetijstvu (Uradni list RS, št. 45/08, 57/12, 90/12 – ZdZPVHVVR, 26/14, 32/15 in 27/17; v nadaljnjem besedilu: zakon, ki ureja kmetijstvo).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Neizpolnjevanje in kršitev obveznosti sofinanciranih iz naslova ESRR ali ESPR, se sankcionira v skladu s 143. členom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upravičenec zamudi 30-dnevni rok za odstop od izvedbe operacije, ki teče od prejema odločbe o odobritvi operacije ali podpisa pogodbe o sofinanciranju iz 32., 38. ali 61. člena te uredbe, ali rok za vložitev zahtevka za izplačilo, ki je določen v odločbi o odobritvi operacije ali v pogodbi o sofinanciranju, ni upravičen do sredstev iz naslova zadevnega podukrepa in se izključi iz zadevnega podukrepa za koledarsko leto neizpolnitve obveznosti in naslednje koledarsko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prejšnji odstavek, če upravičenec dokaže, da je pred potekom roka na naslov LAS vložil zahtevo za odstop od pravice do sredstev ali zahtevek za izplačilo in je LAS zamudil rok za vložitev zahteve za odstop od pravice do sredstev ali zahtevka za izplačilo, se LAS ob prvem zahtevku za izplačilo iz naslova podukrepa »Podpora za tekoče stroške in stroške animacije«, ki ga vloži po ugotovljeni kršitvi, izplača le 50 odstotkov zaprošenega zneska, 50 odstotkov pa je za tisti LAS izgubljenih.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Upravičenec, ki uvede bistvene spremembe, določene v 71. členu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 in odtuji predmet podpore ali predmet podpore uporablja v nasprotju z namenom, za katerega je prejel javno podporo, mora vsa izplačana sredstva vrniti v proračun Republike Slovenije skupaj z zakonitimi zamudnimi obrestmi. Poleg tega se upravičenca izključi iz prejemanja podpore v okviru istega podukrepa za koledarsko leto ugotovitve kršitve in naslednje koledarsko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Kadar LAS ne opravlja nalog, kot jih določa 8. točka 12. člena te uredbe, pristojni organ, določen v 4. členu te uredbe, od LAS zahteva odpravo teh pomanjkljivosti. Če pristojni organ, določen v 4. členu te uredbe, ob pregledu zahtevkov za izplačilo ugotovi, da LAS pomanjkljivosti ni odpravil, se mu do odprave pomanjkljivosti zaustavi izplačilo iz naslova podukrepa »Podpora za tekoče stroške in stroške animacije«.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Kadar LAS ne posreduje letnega načrta aktivnosti za podukrep »Podpora za tekoče stroške in stroške animacije« v skladu z 12. točko 12. člena te uredbe, ni upravičen do sredstev iz naslova tega podukrepa za leto, za katero ni poslal letnega načrta aktivnosti.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(8) Kadar vodilni partner ne izpolnjuje pogojev, določenih v drugem odstavku 13. člena te uredbe, zadevni organi upravljanja od LAS zahtevajo, da vodilni partner odpravi pomanjkljivosti najpozneje v roku dveh mesecev od prejema poziva, ali pa določijo novega vodilnega partnerja. V času, ko vodilni partner ne izpolnjuje pogojev, iz drugega odstavka 34. člena </w:t>
      </w:r>
      <w:hyperlink r:id="rId10" w:tgtFrame="_blank" w:tooltip="to EUR-Lex" w:history="1">
        <w:r>
          <w:rPr>
            <w:rFonts w:ascii="Arial" w:eastAsia="Arial" w:hAnsi="Arial" w:cs="Arial"/>
            <w:color w:val="0000EE"/>
            <w:sz w:val="21"/>
            <w:szCs w:val="21"/>
            <w:u w:val="single" w:color="0000EE"/>
          </w:rPr>
          <w:t>Uredbe 1303/2013/EU</w:t>
        </w:r>
      </w:hyperlink>
      <w:r>
        <w:rPr>
          <w:rFonts w:ascii="Arial" w:eastAsia="Arial" w:hAnsi="Arial" w:cs="Arial"/>
          <w:sz w:val="21"/>
          <w:szCs w:val="21"/>
        </w:rPr>
        <w:t>, so zaustavljena vsa izplačila, namenjena upravičencem iz tega območja.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LAS, ki krši določbo drugega odstavka 49. člena te uredbe, se ob prvem zahtevku za izplačilo iz naslova podukrepa »Podpora za tekoče stroške in stroške animacije« izplača le 50 odstotkov zaprošenega zneska, 50 odstotkov pa je za tisti LAS izgubljenih.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Upravičenec, ki ne hrani dokumentacije, kot to določa drugi odstavek 50. člena te uredbe, mora v proračun Republike Slovenije vrniti deset odstotkov izplačanih sredstev skupaj z zakonitimi zamudnimi obrestmi.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Upravičenec, ki iz neutemeljenega razloga ne omogoči kontrole na kraju samem,iz četrtega odstavka 53. člena te uredbe in jo nepreklicno odkloni, mora v proračun Republike Slovenije vrniti vsa izplačana sredstva skupaj z zakonitimi zamudnimi obrestmi.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Če upravičenec krši določbo 65. člena in šestega odstavka 78. člena te uredbe na način, da označenosti ne zagotavlja v obdobju trajanja obveznosti označevanja, se izrečejo sankcije v naslednjih deležih: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prvi ugotovljeni kršitvi se upravičencu izreče opozorilo,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drugi in vsaki nadaljnji ugotovljeni kršitvi se upravičencu iz zadevne operacije iz naslova podukrepa »Podpora za izvajanje operacij v okviru strategije lokalnega razvoja, ki ga vodi skupnost« in podukrepa »Priprava in izvajanje dejavnosti sodelovanja lokalne akcijske skupine« ali iz podukrepa »Podpora za tekoče stroške in stroške animacije« do odprave pomanjkljivosti zaustavijo izplačila,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sklad ESPR mora upravičenec v petih letih po zadnjem izplačilu sredstev za vsako nadaljnjo ugotovljeno kršitev v proračun Republike Slovenije vrniti po pet odstotkov izplačanih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Če se ugotovi, da je upravičenec namerno vložil napačno vlogo iz 45. člena te uredbe ali zahtevek za izplačilo iz 46. člena te uredbe (navajanje lažnih podatkov, izjav), mora v proračun Republike Slovenije vrniti vsa izplačana sredstva skupaj z zakonitimi zamudnimi obrestmi. Upravičenec se izključi iz zadevnega podukrepa za koledarsko leto neizpolnitve obveznosti in naslednje koledarsko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V primeru ugotovljene prve kršitve glede izbirnih postopkov za izbor operacij za uresničevanje ciljev SLR, iz 11. točke prvega odstavka 15. člena te uredbe, zadevni organi upravljanja od LAS zahtevajo odpravo pomanjkljivosti.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V primeru ugotovljene druge kršitve glede izbirnih postopkov za izbor operacij za uresničevanje ciljev SLR, iz 11. točke prvega odstavka 15. člena te uredbe, zadevni organi upravljanja od LAS zahtevajo odpravo pomanjkljivosti in znižanje finančnega okvira, določena v odločbi o potrditvi SLR in LAS za pet odstotkov.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(16) Kadar LAS postopkov glede izbirnih postopkov za izbor operacij za uresničevanje ciljev SLR na podlagi ugotovljenih nepravilnosti ne odpravi v skladu s šestnajstim in sedemnajstim odstavkom tega člena, se mu odvzame pravica do koriščenja sredstev iz naslova podukrepa »Podpora za tekoče stroške in stroške animacije«.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(17) Kadar upravičenec operacije ne izvede v skladu z odobreno operacijo in krši določbe dvanajstega odstavka 29. člena te uredbe ali trinajstega odstavka 36. člena te uredbe, se mu podpora ne izplača.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(18) Če upravičenec ne doseže ciljev operacije, kot je to opredelil v vlogi iz 45. člena te uredbe, se mu obseg podpore v sorazmernem deležu zniža, kar pomeni, da se mu zniža delež podpore v enakem odstotku, kot ni bil dosežen zastavljeni cilj.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(19) Kadar stroški animacije lokalnega območja ne zajemajo najmanj 25 odstotkov nastalih stroškov v okviru predloženih zahtevkov v koledarskem letu, kot to določa peti odstavek 41. člena te uredbe, se višina upravičenih stroškov, povezanih z upravljanjem izvajanja SLR v koledarskem letu, zniža za toliko odstotkov, da stroški animacije zajemajo najmanj 25 odstotkov nastalih stroškov.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 KONTROLA NAD IZVAJANJEM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(kontrola nad izvajanjem podukrepov)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Kontrolo nad izvajanjem podukrepov, sofinanciranih iz naslova EKSRP, se izvaja v skladu z </w:t>
      </w:r>
      <w:hyperlink r:id="rId41" w:tgtFrame="_blank" w:tooltip="to EUR-Lex" w:history="1">
        <w:r>
          <w:rPr>
            <w:rFonts w:ascii="Arial" w:eastAsia="Arial" w:hAnsi="Arial" w:cs="Arial"/>
            <w:color w:val="0000EE"/>
            <w:sz w:val="21"/>
            <w:szCs w:val="21"/>
            <w:u w:val="single" w:color="0000EE"/>
          </w:rPr>
          <w:t>Uredbo 640/2014/EU</w:t>
        </w:r>
      </w:hyperlink>
      <w:r>
        <w:rPr>
          <w:rFonts w:ascii="Arial" w:eastAsia="Arial" w:hAnsi="Arial" w:cs="Arial"/>
          <w:sz w:val="21"/>
          <w:szCs w:val="21"/>
        </w:rPr>
        <w:t xml:space="preserve"> in </w:t>
      </w:r>
      <w:hyperlink r:id="rId53" w:tgtFrame="_blank" w:tooltip="to EUR-Lex" w:history="1">
        <w:r>
          <w:rPr>
            <w:rFonts w:ascii="Arial" w:eastAsia="Arial" w:hAnsi="Arial" w:cs="Arial"/>
            <w:color w:val="0000EE"/>
            <w:sz w:val="21"/>
            <w:szCs w:val="21"/>
            <w:u w:val="single" w:color="0000EE"/>
          </w:rPr>
          <w:t>Uredbo 809/2014/EU</w:t>
        </w:r>
      </w:hyperlink>
      <w:r>
        <w:rPr>
          <w:rFonts w:ascii="Arial" w:eastAsia="Arial" w:hAnsi="Arial" w:cs="Arial"/>
          <w:sz w:val="21"/>
          <w:szCs w:val="21"/>
        </w:rPr>
        <w:t xml:space="preserve">. Kontrolo nad izvajanjem podukrepov, sofinanciranih iz naslova ESRR ali ESPR, se izvaja v skladu z </w:t>
      </w:r>
      <w:hyperlink r:id="rId10" w:tgtFrame="_blank" w:tooltip="to EUR-Lex" w:history="1">
        <w:r>
          <w:rPr>
            <w:rFonts w:ascii="Arial" w:eastAsia="Arial" w:hAnsi="Arial" w:cs="Arial"/>
            <w:color w:val="0000EE"/>
            <w:sz w:val="21"/>
            <w:szCs w:val="21"/>
            <w:u w:val="single" w:color="0000EE"/>
          </w:rPr>
          <w:t>Uredbo 1303/2013/EU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Kontrolo na kraju samem za EKSRP in ESPR izvaja ARSKTRP, v primeru ESRR pa MGRT.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Kontrolo na kraju samem lahko za EKSRP in ESPR opravlja tudi MKGP, v primeru ESRR pa SVRK.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Upravičenec mora omogočiti dostop do dokumentacije o operaciji ter kontrolo na kraju samem kontrolnim organom, organu upravljanja, revizijskemu organu in drugim organom, ki opravljajo nadzor nad porabo finančnih sredstev EKSRP, ESRR ali ESPR.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Zadevni organi upravljanja lahko kadarkoli ugotavljajo dejansko stanje in izpolnjevanje obveznosti LAS in upravičenca.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XII. DRŽAVNE POMOČI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(državne pomoči)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Javna podpora iz skladov EKSRP in ESPR se za podukrepa »Podpora za izvajanje operacij v okviru strategije lokalnega razvoja, ki ga vodi skupnost« in »Priprava in izvajanje dejavnosti sodelovanja lokalne akcijske skupine« dodeljuje kot pomoč po pravilu </w:t>
      </w:r>
      <w:r>
        <w:rPr>
          <w:rFonts w:ascii="Arial" w:eastAsia="Arial" w:hAnsi="Arial" w:cs="Arial"/>
          <w:i/>
          <w:iCs/>
          <w:sz w:val="21"/>
          <w:szCs w:val="21"/>
        </w:rPr>
        <w:t>de minimis</w:t>
      </w:r>
      <w:r>
        <w:rPr>
          <w:rFonts w:ascii="Arial" w:eastAsia="Arial" w:hAnsi="Arial" w:cs="Arial"/>
          <w:sz w:val="21"/>
          <w:szCs w:val="21"/>
        </w:rPr>
        <w:t xml:space="preserve"> v skladu z </w:t>
      </w:r>
      <w:hyperlink r:id="rId24" w:tgtFrame="_blank" w:tooltip="to EUR-Lex" w:history="1">
        <w:r>
          <w:rPr>
            <w:rFonts w:ascii="Arial" w:eastAsia="Arial" w:hAnsi="Arial" w:cs="Arial"/>
            <w:color w:val="0000EE"/>
            <w:sz w:val="21"/>
            <w:szCs w:val="21"/>
            <w:u w:val="single" w:color="0000EE"/>
          </w:rPr>
          <w:t>Uredbo 1407/2013/EU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Javna podpora iz sklada ESRR se dodeljuje kot pomoč po pravilu </w:t>
      </w:r>
      <w:r>
        <w:rPr>
          <w:rFonts w:ascii="Arial" w:eastAsia="Arial" w:hAnsi="Arial" w:cs="Arial"/>
          <w:i/>
          <w:iCs/>
          <w:sz w:val="21"/>
          <w:szCs w:val="21"/>
        </w:rPr>
        <w:t>de minimis</w:t>
      </w:r>
      <w:r>
        <w:rPr>
          <w:rFonts w:ascii="Arial" w:eastAsia="Arial" w:hAnsi="Arial" w:cs="Arial"/>
          <w:sz w:val="21"/>
          <w:szCs w:val="21"/>
        </w:rPr>
        <w:t xml:space="preserve"> v skladu z </w:t>
      </w:r>
      <w:hyperlink r:id="rId24" w:tgtFrame="_blank" w:tooltip="to EUR-Lex" w:history="1">
        <w:r>
          <w:rPr>
            <w:rFonts w:ascii="Arial" w:eastAsia="Arial" w:hAnsi="Arial" w:cs="Arial"/>
            <w:color w:val="0000EE"/>
            <w:sz w:val="21"/>
            <w:szCs w:val="21"/>
            <w:u w:val="single" w:color="0000EE"/>
          </w:rPr>
          <w:t>Uredbo 1407/2013/EU</w:t>
        </w:r>
      </w:hyperlink>
      <w:r>
        <w:rPr>
          <w:rFonts w:ascii="Arial" w:eastAsia="Arial" w:hAnsi="Arial" w:cs="Arial"/>
          <w:sz w:val="21"/>
          <w:szCs w:val="21"/>
        </w:rPr>
        <w:t>, priglašeno s Programom izvajanja finančnih spodbud ministrstva za gospodarski razvoj in tehnologijo 2015–2020, objavljenim na spletni strani MGRT.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(datum dodelitve pomoči)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Pomoč </w:t>
      </w:r>
      <w:r>
        <w:rPr>
          <w:rFonts w:ascii="Arial" w:eastAsia="Arial" w:hAnsi="Arial" w:cs="Arial"/>
          <w:i/>
          <w:iCs/>
          <w:sz w:val="21"/>
          <w:szCs w:val="21"/>
        </w:rPr>
        <w:t>de minimis</w:t>
      </w:r>
      <w:r>
        <w:rPr>
          <w:rFonts w:ascii="Arial" w:eastAsia="Arial" w:hAnsi="Arial" w:cs="Arial"/>
          <w:sz w:val="21"/>
          <w:szCs w:val="21"/>
        </w:rPr>
        <w:t xml:space="preserve"> se šteje za dodeljeno z dnem izdaje odločbe o pravici do sredstev, ki jo izda ARSKTRP za sklada EKSRP in ESPR, in dnem sklenjene pogodbe, ki jo sklene MGRT.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(kumulacija in skupni znesek pomoči de minimis)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Javna podpora se za poukrepe iz prvega odstavka 54. člena te uredbe dodeli do višine, ki ne presega skupnega zneska pomoči de minimis iz 3. člena </w:t>
      </w:r>
      <w:hyperlink r:id="rId24" w:tgtFrame="_blank" w:tooltip="to EUR-Lex" w:history="1">
        <w:r>
          <w:rPr>
            <w:rFonts w:ascii="Arial" w:eastAsia="Arial" w:hAnsi="Arial" w:cs="Arial"/>
            <w:color w:val="0000EE"/>
            <w:sz w:val="21"/>
            <w:szCs w:val="21"/>
            <w:u w:val="single" w:color="0000EE"/>
          </w:rPr>
          <w:t>Uredbe 1407/2013/EU</w:t>
        </w:r>
      </w:hyperlink>
      <w:r>
        <w:rPr>
          <w:rFonts w:ascii="Arial" w:eastAsia="Arial" w:hAnsi="Arial" w:cs="Arial"/>
          <w:sz w:val="21"/>
          <w:szCs w:val="21"/>
        </w:rPr>
        <w:t xml:space="preserve">. Z drugimi pomočmi </w:t>
      </w:r>
      <w:r>
        <w:rPr>
          <w:rFonts w:ascii="Arial" w:eastAsia="Arial" w:hAnsi="Arial" w:cs="Arial"/>
          <w:i/>
          <w:iCs/>
          <w:sz w:val="21"/>
          <w:szCs w:val="21"/>
        </w:rPr>
        <w:t>de minimis</w:t>
      </w:r>
      <w:r>
        <w:rPr>
          <w:rFonts w:ascii="Arial" w:eastAsia="Arial" w:hAnsi="Arial" w:cs="Arial"/>
          <w:sz w:val="21"/>
          <w:szCs w:val="21"/>
        </w:rPr>
        <w:t xml:space="preserve"> se ta pomoč lahko kumulira le pod pogoji iz 5. člena </w:t>
      </w:r>
      <w:hyperlink r:id="rId24" w:tgtFrame="_blank" w:tooltip="to EUR-Lex" w:history="1">
        <w:r>
          <w:rPr>
            <w:rFonts w:ascii="Arial" w:eastAsia="Arial" w:hAnsi="Arial" w:cs="Arial"/>
            <w:color w:val="0000EE"/>
            <w:sz w:val="21"/>
            <w:szCs w:val="21"/>
            <w:u w:val="single" w:color="0000EE"/>
          </w:rPr>
          <w:t>Uredbe 1407/2013/EU</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(obvezne priloge)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Upravičenec mora k vlogi za podukrepe iz prvega odstavka 54. člena te uredbe predložiti: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pisno izjavo o vseh drugih pomočeh </w:t>
      </w:r>
      <w:r>
        <w:rPr>
          <w:rFonts w:ascii="Arial" w:eastAsia="Arial" w:hAnsi="Arial" w:cs="Arial"/>
          <w:i/>
          <w:iCs/>
          <w:sz w:val="21"/>
          <w:szCs w:val="21"/>
        </w:rPr>
        <w:t>de minimis</w:t>
      </w:r>
      <w:r>
        <w:rPr>
          <w:rFonts w:ascii="Arial" w:eastAsia="Arial" w:hAnsi="Arial" w:cs="Arial"/>
          <w:sz w:val="21"/>
          <w:szCs w:val="21"/>
        </w:rPr>
        <w:t>, ki jih je upravičenec oziroma enotno podjetje prejelo v predhodnih dveh letih in v tekočem proračunskem letu;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pisno izjavo o drugih že prejetih ali zaprošenih pomočeh za iste upravičene stroške in zagotovilo, da z dodeljenim zneskom pomoči </w:t>
      </w:r>
      <w:r>
        <w:rPr>
          <w:rFonts w:ascii="Arial" w:eastAsia="Arial" w:hAnsi="Arial" w:cs="Arial"/>
          <w:i/>
          <w:iCs/>
          <w:sz w:val="21"/>
          <w:szCs w:val="21"/>
        </w:rPr>
        <w:t xml:space="preserve">de minimis </w:t>
      </w:r>
      <w:r>
        <w:rPr>
          <w:rFonts w:ascii="Arial" w:eastAsia="Arial" w:hAnsi="Arial" w:cs="Arial"/>
          <w:sz w:val="21"/>
          <w:szCs w:val="21"/>
        </w:rPr>
        <w:t xml:space="preserve">ne bo presežena zgornja meja </w:t>
      </w:r>
      <w:r>
        <w:rPr>
          <w:rFonts w:ascii="Arial" w:eastAsia="Arial" w:hAnsi="Arial" w:cs="Arial"/>
          <w:i/>
          <w:iCs/>
          <w:sz w:val="21"/>
          <w:szCs w:val="21"/>
        </w:rPr>
        <w:t>de minimis</w:t>
      </w:r>
      <w:r>
        <w:rPr>
          <w:rFonts w:ascii="Arial" w:eastAsia="Arial" w:hAnsi="Arial" w:cs="Arial"/>
          <w:sz w:val="21"/>
          <w:szCs w:val="21"/>
        </w:rPr>
        <w:t xml:space="preserve"> pomoči ter intenzivnosti pomoči po drugih predpisih;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pisno izjavo, ali gre za enotno podjetje z navedbo podjetij, ki so z njim povezana, z namenom preveritve skupnega zneska že prejetih pomoči </w:t>
      </w:r>
      <w:r>
        <w:rPr>
          <w:rFonts w:ascii="Arial" w:eastAsia="Arial" w:hAnsi="Arial" w:cs="Arial"/>
          <w:i/>
          <w:iCs/>
          <w:sz w:val="21"/>
          <w:szCs w:val="21"/>
        </w:rPr>
        <w:t xml:space="preserve">de minimis </w:t>
      </w:r>
      <w:r>
        <w:rPr>
          <w:rFonts w:ascii="Arial" w:eastAsia="Arial" w:hAnsi="Arial" w:cs="Arial"/>
          <w:sz w:val="21"/>
          <w:szCs w:val="21"/>
        </w:rPr>
        <w:t>za vsa, z njim povezana podjetja.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54.č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dajalca pomoči in hramba dokumentacije)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ARSKTRP z odločbo pisno obvesti upravičenca, da je pomoč dodeljena po pravilu </w:t>
      </w:r>
      <w:r>
        <w:rPr>
          <w:rFonts w:ascii="Arial" w:eastAsia="Arial" w:hAnsi="Arial" w:cs="Arial"/>
          <w:i/>
          <w:iCs/>
          <w:sz w:val="21"/>
          <w:szCs w:val="21"/>
        </w:rPr>
        <w:t>de minimis</w:t>
      </w:r>
      <w:r>
        <w:rPr>
          <w:rFonts w:ascii="Arial" w:eastAsia="Arial" w:hAnsi="Arial" w:cs="Arial"/>
          <w:sz w:val="21"/>
          <w:szCs w:val="21"/>
        </w:rPr>
        <w:t xml:space="preserve"> v skladu z </w:t>
      </w:r>
      <w:hyperlink r:id="rId24" w:tgtFrame="_blank" w:tooltip="to EUR-Lex" w:history="1">
        <w:r>
          <w:rPr>
            <w:rFonts w:ascii="Arial" w:eastAsia="Arial" w:hAnsi="Arial" w:cs="Arial"/>
            <w:color w:val="0000EE"/>
            <w:sz w:val="21"/>
            <w:szCs w:val="21"/>
            <w:u w:val="single" w:color="0000EE"/>
          </w:rPr>
          <w:t>Uredbo 1407/2013/EU</w:t>
        </w:r>
      </w:hyperlink>
      <w:r>
        <w:rPr>
          <w:rFonts w:ascii="Arial" w:eastAsia="Arial" w:hAnsi="Arial" w:cs="Arial"/>
          <w:sz w:val="21"/>
          <w:szCs w:val="21"/>
        </w:rPr>
        <w:t xml:space="preserve"> in o odobrenem znesku pomoči </w:t>
      </w:r>
      <w:r>
        <w:rPr>
          <w:rFonts w:ascii="Arial" w:eastAsia="Arial" w:hAnsi="Arial" w:cs="Arial"/>
          <w:i/>
          <w:iCs/>
          <w:sz w:val="21"/>
          <w:szCs w:val="21"/>
        </w:rPr>
        <w:t>de minimis</w:t>
      </w:r>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ARSKTRP mora hraniti vso dokumentacijo, ki je bila podlaga za odobritev pomoči po tej uredbi, deset let od datuma prejema pomoči iz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ARSKTRP mora voditi natančne evidence z informacijami o dodeljenih pomočeh </w:t>
      </w:r>
      <w:r>
        <w:rPr>
          <w:rFonts w:ascii="Arial" w:eastAsia="Arial" w:hAnsi="Arial" w:cs="Arial"/>
          <w:i/>
          <w:iCs/>
          <w:sz w:val="21"/>
          <w:szCs w:val="21"/>
        </w:rPr>
        <w:t>de minimis</w:t>
      </w:r>
      <w:r>
        <w:rPr>
          <w:rFonts w:ascii="Arial" w:eastAsia="Arial" w:hAnsi="Arial" w:cs="Arial"/>
          <w:sz w:val="21"/>
          <w:szCs w:val="21"/>
        </w:rPr>
        <w:t xml:space="preserve"> in dokazili o izpolnjevanju pogojev deset let od dneva zadnje dodelitve pomoči po tej uredbi.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XIII. POSEBNA PRAVILA GLEDE PODPORE ZA SKLAD EKSRP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(posebni pogoji za oblikovanje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sredstev iz sklada EKSRP so upravičena vsa naselja v Republiki Sloveniji, ki so na območju posameznega LAS, razen naselij, določenih v Prilogi 2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 potrditvi SLR in LAS se, v skladu s finančnim okvirom, med LAS razdeli do 40.000.000 eurov, na način iz sedmega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se LAS, v katerem so problemska območja ali območja, določena v Zakonu o Triglavskem narodnem parku (Uradni list RS, št. 52/10 in 46/14 – ZON-C; v nadaljnjem besedilu: ZTNP-1), glede na finančni okvir določijo dodatna sredstva iz naslova PRP 2014–2020 v skladu s tretjim odstavkom tega člena. Za problemska območja in območja iz ZTNP-1 je v programskem obdobju 2014–2020 namenjenih 3.000.000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LAS, ki vključujejo problemska območja oziroma območja iz ZTNP-1, pridobijo dodatnih 15 odstotkov finančnih sredstev glede na izračun, določen v sedmem odstavku tega člena, do razdelitve sredstev določenih v prejšnjem odstavku. LAS jih mora nameniti izključno za izvedbo operacij znotraj problemskih območij oziroma območij iz ZTNP-1.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Najvišja stopnja javne podpore, ki jo v skladu z drugim odstavkom 30. člena te uredbe lahko določi LAS je 85 odstotkov upravičenih stroškov operacije. Pri določitvi stopnje podpore se mora upoštevati, da operacije z dodano vrednostjo, kot so skupni interes, skupina upravičencev, dostop javnosti do rezultatov operacije, inovativne značilnosti operacije na lokalni ravni, razpoložljivost proračuna in integrirane operacije, prejmejo višji delež podpore.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drugi odstavek 37. člena te uredbe znaša stopnja javne podpore za podukrep »Priprava in izvajanje dejavnosti sodelovanja lokalne akcijske skupine« 85 odstotkov upravičenih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izvajanje podukrepa »Priprava in izvajanje dejavnosti sodelovanja lokalne akcijske skupine« je iz naslova PRP 2014–2020 v programskem obdobju 2014–2020 namenjenih 12.894.700 eurov, ki niso del finančnega okvira iz sedmega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Finančni okvir za posamezni LAS se izračuna po naslednji formuli: (Število prebivalcev LAS × vrednost točke) + (površina LAS × vrednost točke) + (razvitost občin × vrednost točke) = finančni okvir. Vrednost posamezne točke je določena v točki a Priloge 4, ki je sestavni del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Število prebivalcev iz naselij, določenih v seznamu v Prilogi 2 te uredbe, se ne upošteva pri izračunu finančnega okvira iz prejšnjega odstavka. Za izračun finančnega okvira iz prejšnjega odstavka se upoštevajo tudi Koeficienti razvitosti občin za leto 2015, ki so določeni v Prilogi 6, ki je sestavni del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Rezerva za uspešnost je razlika med višino sredstev iz naslova PRP 2014–2020, določenih v prvem odstavku 9. člena te uredbe, seštevkom odobrenih sredstev iz prvega in drugega odstavka tega člena ter zneskom iz šestega odstavka tega člena. Za vsak mejnik iz prve do četrte alineje drugega odstavka 19. člena te uredbe se nameni 25 odstotkov rezerve za uspešnost. Rezerva za uspešnost posameznega mejnika se sorazmerno razdeli med LAS, ki so dosegli mejnik v skladu tretjim odstavkom 19. člena te uredbe. LAS pridobi rezervo za uspešnost v višini seštevka sorazmernega deleža doseženih mejnikov.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Finančna sredstva iz naslova sankcij se namenijo za izvajanje podukrepa »Priprava in izvajanje dejavnosti sodelovanja lokalne akcijske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V skladu s četrtim odstavkom 30. člena te uredbe je najvišji dovoljeni znesek javne podpore za posamezno operacijo 300.000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V skladu s četrtim odstavkom 37. člena te uredbe je najvišji dovoljeni znesek javne podpore na posamezni LAS 100.000 eurov za posamezno operacijo. Najvišji dovoljeni znesek javne podpore skupne operacije sodelovanja vseh LAS je 500.000 eurov. Posamezni LAS lahko na javni razpis vloži največ tri vloge.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(13) Dodatna sredstva iz naslova podaljšanja programskega obdobja za sklad EKSRP na podlagi </w:t>
      </w:r>
      <w:hyperlink r:id="rId73" w:tgtFrame="_blank" w:tooltip="to EUR-Lex" w:history="1">
        <w:r>
          <w:rPr>
            <w:rFonts w:ascii="Arial" w:eastAsia="Arial" w:hAnsi="Arial" w:cs="Arial"/>
            <w:color w:val="0000EE"/>
            <w:sz w:val="21"/>
            <w:szCs w:val="21"/>
            <w:u w:val="single" w:color="0000EE"/>
          </w:rPr>
          <w:t>Uredbe 2020/2220/EU</w:t>
        </w:r>
      </w:hyperlink>
      <w:r>
        <w:rPr>
          <w:rFonts w:ascii="Arial" w:eastAsia="Arial" w:hAnsi="Arial" w:cs="Arial"/>
          <w:sz w:val="21"/>
          <w:szCs w:val="21"/>
        </w:rPr>
        <w:t xml:space="preserve"> v višini 4.400.000,25 eurov se namenijo za podukrepa »Podpora za izvajanje operacij v okviru strategije lokalnega razvoja, ki ga vodi skupnost« in »Podpora za tekoče stroške in stroške animacije«. Ta sredstva se za posamezni LAS dodelijo sorazmerno glede na odobrena sredstva na podlagi formule iz sedmega odstavka tega člena. LAS za dodelitev dodatnih sredstev vloži vlogo za spremembo SLR v skladu z drugim odstavkom 18. člena najpozneje do 31. decembra 2021. Pri obravnavi sprememb SLR se smiselno uporabljajo določbe tretjega in četrtega odstavka 18. člena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Kadar je glavni sklad EKSRP, lahko LAS v skladu z drugim odstavkom 42. člena </w:t>
      </w:r>
      <w:hyperlink r:id="rId16" w:tgtFrame="_blank" w:tooltip="to EUR-Lex" w:history="1">
        <w:r>
          <w:rPr>
            <w:rFonts w:ascii="Arial" w:eastAsia="Arial" w:hAnsi="Arial" w:cs="Arial"/>
            <w:color w:val="0000EE"/>
            <w:sz w:val="21"/>
            <w:szCs w:val="21"/>
            <w:u w:val="single" w:color="0000EE"/>
          </w:rPr>
          <w:t>Uredbe 1305/2013/EU</w:t>
        </w:r>
      </w:hyperlink>
      <w:r>
        <w:rPr>
          <w:rFonts w:ascii="Arial" w:eastAsia="Arial" w:hAnsi="Arial" w:cs="Arial"/>
          <w:sz w:val="21"/>
          <w:szCs w:val="21"/>
        </w:rPr>
        <w:t xml:space="preserve"> na ARSKTRP vloži zahtevek za izplačilo predplačila namenjenega za izvajanje podukrepa »Podpora za tekoče stroške in stroške animacije«.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Upravičenec iz prvega odstavka 27. člena te uredbe lahko v skladu s četrtim odstavkom 45. člena </w:t>
      </w:r>
      <w:hyperlink r:id="rId16" w:tgtFrame="_blank" w:tooltip="to EUR-Lex" w:history="1">
        <w:r>
          <w:rPr>
            <w:rFonts w:ascii="Arial" w:eastAsia="Arial" w:hAnsi="Arial" w:cs="Arial"/>
            <w:color w:val="0000EE"/>
            <w:sz w:val="21"/>
            <w:szCs w:val="21"/>
            <w:u w:val="single" w:color="0000EE"/>
          </w:rPr>
          <w:t>Uredbe 1305/2013/EU</w:t>
        </w:r>
      </w:hyperlink>
      <w:r>
        <w:rPr>
          <w:rFonts w:ascii="Arial" w:eastAsia="Arial" w:hAnsi="Arial" w:cs="Arial"/>
          <w:sz w:val="21"/>
          <w:szCs w:val="21"/>
        </w:rPr>
        <w:t xml:space="preserve"> na ARSKTRP vloži zahtevek za izplačilo predplačila v znesku do 50 odstotkov vrednosti javne podpore naložbe, potrjene z odločbo o pravici do sredstev, za namen izvajanja podukrepa »Podpora za izvajanje operacij v okviru strategije lokalnega razvoja, ki ga vodi skupnost«.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Zahtevek za izplačilo predplačila iz prejšnjega odstavka mora upravičenec napovedati v vlogi iz 45.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Upravičenec iz prvega odstavka 27. člena lahko uveljavlja predplačilo iz drugega odstavka tega člen v 30 dneh od vročitve odločbe o pravici do sredstev z vložitvijo zahtevka za izplačilo predplačila.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Za izplačilo predplačila iz drugega odstavka tega člena morajo biti izpolnjeni pogoji iz 63. člena </w:t>
      </w:r>
      <w:hyperlink r:id="rId16" w:tgtFrame="_blank" w:tooltip="to EUR-Lex" w:history="1">
        <w:r>
          <w:rPr>
            <w:rFonts w:ascii="Arial" w:eastAsia="Arial" w:hAnsi="Arial" w:cs="Arial"/>
            <w:color w:val="0000EE"/>
            <w:sz w:val="21"/>
            <w:szCs w:val="21"/>
            <w:u w:val="single" w:color="0000EE"/>
          </w:rPr>
          <w:t>Uredbe 1305/2013/EU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LAS vloži zahtevek za izplačilo predplačila iz drugega odstavka tega člena preko informacijskega sistema zadevnega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Zahtevek za izplačilo predplačila vsebuje sestavine, določene v Prilogi 8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Originalni izvod bančne garancije, ki se priloži zahtevku za izplačilo predplačila iz drugega odstavka tega člena, mora biti veljaven najmanj šest mesecev od datuma vložitve zahtevka za izplačilo sredstev, katerega vrednost je večja od višine predplačila in na katerega je vezana sprostitev bančne garancije.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Ne glede na šesti odstavek tega člena se originalni izvod bančne garancije iz prejšnjega odstavka predloži ARSKTRP na naslov: Agencija za kmetijske trge in razvoj podeželja, Dunajska cesta 160, 1000 Ljubljana.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Bančna garancija se zaseže delno ali v celoti, če pred potekom bančne garancije niso bila predložena ustrezna dokazila o nastanku stroškov v skladu z devetim odstavkom 46. člena te uredbe oziroma če dokazila o nastanku stroškov niso predložena v vrednosti izplačanega predplačila.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(11) Podrobnejši postopek glede zavarovanja predplačila z bančno garancijo je opredeljen z uredbo, ki ureja izvajanje sistema varščin za izpolnitev obveznosti, povezanih z ukrepi kmetijske politike in Poglavjem IV </w:t>
      </w:r>
      <w:hyperlink r:id="rId60" w:tgtFrame="_blank" w:tooltip="to EUR-Lex" w:history="1">
        <w:r>
          <w:rPr>
            <w:rFonts w:ascii="Arial" w:eastAsia="Arial" w:hAnsi="Arial" w:cs="Arial"/>
            <w:color w:val="0000EE"/>
            <w:sz w:val="21"/>
            <w:szCs w:val="21"/>
            <w:u w:val="single" w:color="0000EE"/>
          </w:rPr>
          <w:t>Uredbe 907/2014/EU</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prvi odstavek 27. člena te uredbe so v primeru, ko gre za operacijo, ki se lahko izvede v okviru glavnega ukrepa, upravičenci do podpore LAS ali skupina fizičnih oziroma pravnih oseb, ki izvaja operacijo za skupno korist oziroma uporabo. Za skupino fizičnih in pravnih oseb se šteje skupina, ki je sestavljena najmanj iz treh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prvi odstavek 34. člena te uredbe so poleg LAS lahko upravičenci tudi člani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V primeru drugega odstavka 34. člena morajo biti partnerji, s katerimi sodelujejo LAS, v skladu z drugim odstavkom 44. člena </w:t>
      </w:r>
      <w:hyperlink r:id="rId16" w:tgtFrame="_blank" w:tooltip="to EUR-Lex" w:history="1">
        <w:r>
          <w:rPr>
            <w:rFonts w:ascii="Arial" w:eastAsia="Arial" w:hAnsi="Arial" w:cs="Arial"/>
            <w:color w:val="0000EE"/>
            <w:sz w:val="21"/>
            <w:szCs w:val="21"/>
            <w:u w:val="single" w:color="0000EE"/>
          </w:rPr>
          <w:t>Uredbe 1305/2013/EU</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(upravičeni stroški)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Pri upravičenih stroških iz 28. člena in 35. člena, je treba upoštevati omejitve iz: 45. člena </w:t>
      </w:r>
      <w:hyperlink r:id="rId16" w:tgtFrame="_blank" w:tooltip="to EUR-Lex" w:history="1">
        <w:r>
          <w:rPr>
            <w:rFonts w:ascii="Arial" w:eastAsia="Arial" w:hAnsi="Arial" w:cs="Arial"/>
            <w:color w:val="0000EE"/>
            <w:sz w:val="21"/>
            <w:szCs w:val="21"/>
            <w:u w:val="single" w:color="0000EE"/>
          </w:rPr>
          <w:t>Uredbe 1305/2013/EU</w:t>
        </w:r>
      </w:hyperlink>
      <w:r>
        <w:rPr>
          <w:rFonts w:ascii="Arial" w:eastAsia="Arial" w:hAnsi="Arial" w:cs="Arial"/>
          <w:sz w:val="21"/>
          <w:szCs w:val="21"/>
        </w:rPr>
        <w:t xml:space="preserve"> v primeru naložbenih operacij in 60. ter 61. člena </w:t>
      </w:r>
      <w:hyperlink r:id="rId16" w:tgtFrame="_blank" w:tooltip="to EUR-Lex" w:history="1">
        <w:r>
          <w:rPr>
            <w:rFonts w:ascii="Arial" w:eastAsia="Arial" w:hAnsi="Arial" w:cs="Arial"/>
            <w:color w:val="0000EE"/>
            <w:sz w:val="21"/>
            <w:szCs w:val="21"/>
            <w:u w:val="single" w:color="0000EE"/>
          </w:rPr>
          <w:t>Uredbe 1305/2013/EU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skladu z drugim odstavkom 28. člena in tretjim odstavkom 35. člena te uredbe so upravičeni samo stroški, ki so nastali po vložitvi vloge za odobritev operacije na ARSKTRP.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prejšnjega člena je datum začetka upravičenosti stroškov storitev zunanjih izvajalcev iz petega odstavka 28. člena in petega odstavka 35. člena te uredbe 1. januar 2014.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Najvišje priznane vrednosti za posamezno vrsto upravičenega stroška so določene v skladu s 64. členom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upravičenost)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v okviru podukrepa »Podpora za izvajanje operacij v okviru strategije lokalnega razvoja, ki ga vodi skupnost« ali »Priprava in izvajanje dejavnosti sodelovanja lokalne akcijske skupine« predmet podpore operacija, ki se lahko izvede v okviru glavnega ukrepa, mora to izhajati iz SLR, ravno tako pa mora biti v vlogi iz prvega odstavka 45. člena te uredbe utemeljena dodana vrednost posamezne operacije, kot so skupni interes, skupina upravičencev, dostop javnosti do rezultatov operacije, inovativne značilnosti operacije na lokalni ravni, razpoložljivost proračuna ali integrirane operacije, da se tovrstna operacija izvaja v okviru tega podukrepa.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Glede na tretji odstavek 29. člena in drugi odstavek 36. člena te uredbe morajo biti cilji operacije merljivi z jasnimi učinki in rezultati.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šesti odstavek 29. člena te uredbe mora biti operacija izvedena na območju LAS, vendar zunaj naselij, določenih v Prilogi 2 te uredbe. Ne glede na peti odstavek 36. člena te uredbe v naseljih, določenih v Prilogi 2 te uredbe, investicije niso upravičene.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dvanajsti odstavek 29. člena te uredbe in trinajsti odstavek 36. člena te uredbe lahko upravičenec v obdobju izvajanja operacije zaprosi za spremembo obveznosti v skladu s 54. členom zakona, ki ureja kmetijstvo.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okviru podukrepa »Priprava in izvajanje dejavnosti sodelovanja lokalne akcijske skupine« so upravičene operacije: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izmenjava izkušenj in znanja ter njihova implementacija na območju LAS;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razvoj in trženje storitev in proizvodov;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promocija novih proizvodov, praks, postopkov in tehnologij;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vključevanje ranljivih skupin;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organizacija skupnih delovnih procesov z izmenjavo virov in opreme;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oblikovanje kratkih dobavnih verig hrane in lokalnih trgov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kolektivne okoljske operacije.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Upravičenec iz drugega odstavka 58. člena te uredbe, ki je pravna ali fizična oseba, ima lahko na dan oddaje vloge do 50 eurov neporavnanih zapadlih davčnih obveznosti do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Operacija ne sme biti fizično dokončana ali v celoti izvedena pred izdajo odločbe, s katero ARSKTRP odobri izvajanje operacije.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izvajanja podukrepa »Podpora za izvajanje operacij v okviru strategije lokalnega razvoja, ki ga vodi skupnost«)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LAS vloži vlogo v skladu s 45. členom te uredbe. ARSKTRP odloči o odobritvi operacije. V odločbi o odobritvi operacije določi tudi višino sredstev, rok za vložitev zahtevka za izplačilo, pogoje za upravičenost ter višino sredstev, ki je odobrena v skladu s pravili sheme državnih pomoči.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izvajanja podukrepa »Priprava in izvajanje dejavnosti sodelovanja lokalne akcijske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namen priprave in izvajanje operacije tega podukrepa se vzpostavi pogodbeno partnerstvo, ki ga vodi vodilni partner sodelujočih LAS. Vodilni partner sodelujočih LAS je lahko eden izmed v operaciji sodelujočih LAS, ki opravlja predvsem naslednji nalogi: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zastopa partnerstvo v vseh upravnih postopkih v razmerju do ARSKTRP in MKGP;</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koordinira pripravo celotne dokumentacije, ki je potrebna za vložitev vloge na javni razpis in zahtevka za izplačilo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Podpora iz naslova podukrepa »Priprava in izvajanje dejavnosti sodelovanja lokalne akcijske skupine« se dodeli na podlagi zaprtega javnega razpisa v skladu z zakonom, ki ureja kmetijstvo, in se objavi večkrat letno.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Javni razpis za izbor operacij objavi MKGP v Uradnem listu Republike Slovenije. Rok, do katerega se vlagajo vloge na javni razpis, se določi v javnem razpisu. Oddaja vlog na javni razpis se začne prvi delovni dan po izteku enaindvajsetih dni od objave javnega razpisa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MKGP na spletnih straneh objavi razpisno dokumentacijo za izvedbo javnega razpisa. Navodila za izpolnjevanje prijavnih obrazcev se objavijo na spletnih straneh MKGP in ARSKTRP.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javnem razpisu se podrobneje določijo zlasti upravičenci, višina razpisanih sredstev, pogoji za dodelitev sredstev in merila za izbor vlog ter pogoji za izplačilo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priloge, ki jih je treba priložiti k vlogi na posamezen javni razpis, se lahko v javnem razpisu določi obdobje veljavnosti, če obdobje veljavnosti ni predpisano z drugimi predpisi.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(vlaganje vlog na javni razpis za podukrep »Priprava in izvajanje dejavnosti sodelovanja lokalne akcijske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odobritev operacije iz tega podukrepa mora vodilni partner sodelujočih LAS iz prvega odstavka prejšnjega člena vložiti vlogo v skladu s 45. členom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Vloga se vloži v elektronski obliki v informacijskem sistemu ARSKTRP na način iz 45. člena te uredbe in podpiše s kvalificiranim elektronskim podpisom.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(obravnava vlog na javni razpis za podukrep »Priprava in izvajanje dejavnosti sodelovanja lokalne akcijske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Vloga na javni razpis, ki je popolna, se oceni na podlagi meril, določenih v 63. členu te uredbe in podrobneje opredeljenih v javnem razpisu. Sredstva se odobrijo vlogam, prispelim na javni razpis, ki izpolnjujejo predpisane pogoje in pri merilih za izbor dosežejo minimalni prag točk iz tretjega odstavka 63. člena te uredbe, po vrstnem redu od najvišje do najnižje točkovane vloge, za katero so razpisana sredstva v celoti še na voljo.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imata na zadnjem mestu seznama ocenjenih vlog na javni razpis dve ali več vlog na javni razpis enako število prejetih točk, se vloge na javni razpis odobrijo na podlagi ponderiranja meril za izbor vlog, ki se določi v javnem razpisu.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Vloga na javni razpis, ki je popolna in izpolnjuje vstopne pogoje iz javnega razpisa, vendar razpoložljiva sredstva ne zadoščajo za dodelitev sredstev v celoti, se zavrne.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ARSKTRP o vlogi odloči v skladu s tretjim pododstavkom tretjega odstavka 44. člena </w:t>
      </w:r>
      <w:hyperlink r:id="rId16" w:tgtFrame="_blank" w:tooltip="to EUR-Lex" w:history="1">
        <w:r>
          <w:rPr>
            <w:rFonts w:ascii="Arial" w:eastAsia="Arial" w:hAnsi="Arial" w:cs="Arial"/>
            <w:color w:val="0000EE"/>
            <w:sz w:val="21"/>
            <w:szCs w:val="21"/>
            <w:u w:val="single" w:color="0000EE"/>
          </w:rPr>
          <w:t>Uredbe 1305/2013/EU</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(merila za izbor operacij iz podukrepa »Priprava in izvajanje dejavnosti sodelovanja lokalne akcijske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Merila za izbor operacij iz naslova podukrepa »Priprava in izvajanje dejavnosti sodelovanja lokalne akcijske skupine « temeljijo na naslednjih načelih: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prispevek k doseganju strategije »od vil do vilic« za pravičen, zdrav in okolju prijazen prehranski sistem,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prispevek k doseganju horizontalnih ciljev,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okoljska trajnost,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socialna vzdržnost,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vključenost partnerjev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vpliv na območje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Merila za izbor operacij v skladu s prvim odstavkom 49. člena </w:t>
      </w:r>
      <w:hyperlink r:id="rId16" w:tgtFrame="_blank" w:tooltip="to EUR-Lex" w:history="1">
        <w:r>
          <w:rPr>
            <w:rFonts w:ascii="Arial" w:eastAsia="Arial" w:hAnsi="Arial" w:cs="Arial"/>
            <w:color w:val="0000EE"/>
            <w:sz w:val="21"/>
            <w:szCs w:val="21"/>
            <w:u w:val="single" w:color="0000EE"/>
          </w:rPr>
          <w:t>Uredbe 1305/2013/EU</w:t>
        </w:r>
      </w:hyperlink>
      <w:r>
        <w:rPr>
          <w:rFonts w:ascii="Arial" w:eastAsia="Arial" w:hAnsi="Arial" w:cs="Arial"/>
          <w:sz w:val="21"/>
          <w:szCs w:val="21"/>
        </w:rPr>
        <w:t xml:space="preserve"> v javnem razpisu določi organ upravljanja po posvetu z Odborom za spremljanje iz 73. člena </w:t>
      </w:r>
      <w:hyperlink r:id="rId16" w:tgtFrame="_blank" w:tooltip="to EUR-Lex" w:history="1">
        <w:r>
          <w:rPr>
            <w:rFonts w:ascii="Arial" w:eastAsia="Arial" w:hAnsi="Arial" w:cs="Arial"/>
            <w:color w:val="0000EE"/>
            <w:sz w:val="21"/>
            <w:szCs w:val="21"/>
            <w:u w:val="single" w:color="0000EE"/>
          </w:rPr>
          <w:t>Uredbe 1305/2013/EU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Minimalni prag za potrditev operacije sodelovanja LAS je 60 točk od 100 možnih točk.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Merila za izbor vlog so:</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prispevek k doseganju strategije »od vil do vilic« za pravičen, zdrav in okolju prijazen prehranski sistem;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prispevek k doseganju horizontalnih ciljev, ki se nanaša na: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inovacije,</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podnebne spremembe in prilagajanje nanje;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okoljska trajnost;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socialna vključenost, ki se nanaša vključevanje ranljivih skupin;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vključenost partnerjev, ki se nanaša na: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raznolikost partnerstva glede na ozemeljsko opredelitev,</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raznolikost partnerstva glede na vključenost sektorjev,</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finančno porazdelitev stroškov;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vpliv na območje LAS, ki se nanaša na:</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krepitev zmogljivosti LAS,</w:t>
      </w:r>
    </w:p>
    <w:p>
      <w:pPr>
        <w:pStyle w:val="alineazacrkovnotocko"/>
        <w:spacing w:before="210" w:after="210"/>
        <w:ind w:left="567" w:right="0"/>
        <w:rPr>
          <w:rFonts w:ascii="Arial" w:eastAsia="Arial" w:hAnsi="Arial" w:cs="Arial"/>
          <w:sz w:val="21"/>
          <w:szCs w:val="21"/>
        </w:rPr>
      </w:pPr>
      <w:r>
        <w:rPr>
          <w:rFonts w:ascii="Arial" w:eastAsia="Arial" w:hAnsi="Arial" w:cs="Arial"/>
          <w:sz w:val="21"/>
          <w:szCs w:val="21"/>
        </w:rPr>
        <w:t>-  prenos dobrih praks.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Podrobnejša merila iz prejšnjega odstavka in točkovnik se opredelijo v javnem razpisu.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(najvišje priznane vrednosti za posamezno vrsto upravičenega stroška)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Predpis, ki ureja seznam kmetijske in gozdarske mehanizacije ter katalog stroškov kmetijske in gozdarske mehanizacije, se uporablja za najvišje priznane vrednosti stroškov kmetijske in gozdarske mehanizacije.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Predpis, ki ureja katalog stroškov in najvišjih priznanih vrednosti, se uporablja za najvišje priznane vrednosti naslednjih kategorij stroškov: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stroški gradnje in vzdrževanja objektov z osnovno notranjo opremo objektov ter stroški nakupa dodatne opreme objektov, ki je samostojna funkcionalna celota,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stroški ureditve cestne, vodovodne in energetske infrastrukture ter stroški ureditve gozdnih prometnic,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stroški izgradnje naprav na kmetijskih zemljiščih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stroški nakupa kmetijskih zemljišč.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Upravičeni stroški se priznajo do zgornje višine posameznih upravičenih stroškov, ki so določeni v predpisih iz prvega in drugega odstavka tega člena. Za stroške, ki so navedeni v predpisih iz prvega in drugega odstavka tega člena, mora upravičenec vlogi priložiti eno ponudbo. Če upravičenec v vlogi za pridobitev sredstev uveljavlja višje stroške, kot so določeni v predpisih iz prvega in drugega odstavka tega člena, se pri izračunu priznane vrednosti stroškov upoštevajo najvišje priznane vrednosti iz predpisa iz prvega in drugega odstavka tega člena. Če upravičenec v vlogi za pridobitev sredstev uveljavlja nižje stroške, kot so navedeni v predpisu iz prvega in drugega odstavka tega člena, se pri izračunu priznane vrednosti stroškov upoštevajo vrednosti iz predložene ponudbe.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upravičenec naročnik v skladu s predpisi, ki urejajo javno naročanje, se določbe iz prejšnjega odstavka uporabljajo pri izračunu višine upravičenih stroškov. Če je vrednost ponudbe izbranega izvajalca višja, kot je priznana vrednost iz predpisov iz prvega in drugega odstavka tega člena, se pri izračunu priznane vrednosti stroškov upoštevajo najvišje priznane vrednosti stroškov iz predpisa iz prvega in drugega odstavka tega člena. Če upravičenec v vlogi za pridobitev sredstev uveljavlja nižje stroške, kot so navedeni v predpisu iz prvega in drugega odstavka tega člena, se pri izračunu priznane vrednosti stroškov upoštevajo vrednosti iz predložene ponudbe izbranega izvajalca.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Upravičenec mora vlogi za odobritev operacije iz prvega odstavka 45. člena te uredbe priložiti tržno primerljive pisne ponudbe najmanj treh ponudnikov, razen kadar: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vrste stroškov, ki so predpisani s strani države ali lokalne skupnosti,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stroške dela osebja iz prvega odstavka 28. člena te uredbe in drugega odstavka 35. člena te uredbe,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stroške prispevka v naravi iz prvega odstavka 28. člena te uredbe in drugega odstavka 35. člena te uredbe,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upravičenec naročnik v skladu s predpisi, ki urejajo javno naročanje,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vrsto stroška, za katero je na trgu le en ponudnik, kjer upravičenec priloži eno ponudbo.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Upravičenec mora zahtevku za izplačilo iz naslova podukrepa »Podpora za tekoče stroške in stroške animacije« priložiti tržno primerljive pisne ponudbe najmanj treh ponudnikov, razen kadar: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vrste stroškov iz prve ali tretje alineje prvega odstavka 41. člena te uredbe,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vrste stroškov, ki so predpisani s strani države ali lokalne skupnosti,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upravičenec naročnik v skladu s predpisi, ki urejajo javno naročanje,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vrsto stroška, za katero je na trgu le en ponudnik, kjer upravičenec priloži eno ponudbo,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stroške dela ocenjevalne komisije iz 15. točke 12. člena te uredbe, kjer upravičenec priloži dokazila o izbiri članov ocenjevalne komisije na pregleden način.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Upravičenec mora vsem potencialnim ponudnikom poslati enako povpraševanje z navedenimi minimalnimi zahtevami. Ponudbe so tržno primerljive, če vsebujejo vse zahteve, ki jih je upravičenec navedel v povpraševanju. Pri izračunu višine upravičenih stroškov se upošteva vrednost najugodnejše ponudbe. Če ponudba ne vsebuje minimalnih zahtev, je upravičenec ne izbere.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vrednost upravičenega stroška ne presega 2.000 eurov, lahko upravičenec ne glede na peti in šesti odstavek tega člena namesto tržno primerljivih pisnih ponudb vlogi za odobritev operacije iz prvega odstavka 45. člena te uredbe oziroma zahtevku za izplačilo iz naslova podukrepa »Podpora za tekoče stroške in stroške animacije« priloži eno vabilo k dajanju ponudb ali katalog ali oglas, kot ga določa zakon, ki ureja obligacijska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 vrste stroškov iz petega in šestega odstavka tega člena mora upravičenec vlogi za odobritev operacije iz prvega odstavka 45. člena te uredbe in zahtevku za izplačilo iz naslova podukrepa »Podpora za tekoče stroške in stroške animacije« priložiti utemeljitev, iz katere je razvidno, da ni mogoče priložiti treh tržno primerljivih ponudb.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(10) Ne glede na peti, šesti in osmi odstavek tega člena ARSKTRP za operacije z upravičenimi stroški v višini do 5.000 eurov v skladu s točko (e) drugega odstavka 48. člena </w:t>
      </w:r>
      <w:hyperlink r:id="rId53" w:tgtFrame="_blank" w:tooltip="to EUR-Lex" w:history="1">
        <w:r>
          <w:rPr>
            <w:rFonts w:ascii="Arial" w:eastAsia="Arial" w:hAnsi="Arial" w:cs="Arial"/>
            <w:color w:val="0000EE"/>
            <w:sz w:val="21"/>
            <w:szCs w:val="21"/>
            <w:u w:val="single" w:color="0000EE"/>
          </w:rPr>
          <w:t>Uredbe 809/2014/EU</w:t>
        </w:r>
      </w:hyperlink>
      <w:r>
        <w:rPr>
          <w:rFonts w:ascii="Arial" w:eastAsia="Arial" w:hAnsi="Arial" w:cs="Arial"/>
          <w:sz w:val="21"/>
          <w:szCs w:val="21"/>
        </w:rPr>
        <w:t xml:space="preserve"> višino upravičenih stroškov določi na podlagi zaprte finančne konstrukcije iz osmega odstavka 29.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Strošek prispevka v naravi v obliki zagotavljanja dela ne sme presegati ocenjenih vrednosti ure prostovoljskega dela, kot so določene v predpisih, ki urejajo prostovoljstvo.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Kadar stroški niso določeni v predpisih iz prvega in drugega odstavka tega člena in uradna oseba, ki vodi postopek, oceni, da so predvideni stroški za določeno operacijo glede na vrednost operacije nerealni oziroma previsoki, lahko dodatno preveri vrednosti operacije ter v skladu z ugotovitvijo omeji priznano vrednost operacije.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v zvezi s sofinanciranimi operacijami)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Poleg obveznosti iz prvega odstavka 49. člena te uredbe morajo upravičenci, ki prejemajo podporo iz PRP 2014–2020 v skladu s 13. členom </w:t>
      </w:r>
      <w:hyperlink r:id="rId51" w:tgtFrame="_blank" w:tooltip="to EUR-Lex" w:history="1">
        <w:r>
          <w:rPr>
            <w:rFonts w:ascii="Arial" w:eastAsia="Arial" w:hAnsi="Arial" w:cs="Arial"/>
            <w:color w:val="0000EE"/>
            <w:sz w:val="21"/>
            <w:szCs w:val="21"/>
            <w:u w:val="single" w:color="0000EE"/>
          </w:rPr>
          <w:t>Uredbe 808/2014/EU</w:t>
        </w:r>
      </w:hyperlink>
      <w:r>
        <w:rPr>
          <w:rFonts w:ascii="Arial" w:eastAsia="Arial" w:hAnsi="Arial" w:cs="Arial"/>
          <w:sz w:val="21"/>
          <w:szCs w:val="21"/>
        </w:rPr>
        <w:t xml:space="preserve"> ter predpisom, ki ureja označevanje vira sofinanciranja iz PRP 2014–2020, izpolniti zahteve glede označevanja vira sofinanciranja.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(sankcije za neizpolnjevanje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Upravičencu ni treba vrniti že izplačane podpore v primerih višje sile in izrednih okoliščin v skladu z drugim odstavkom 2. člena </w:t>
      </w:r>
      <w:hyperlink r:id="rId18" w:tgtFrame="_blank" w:tooltip="to EUR-Lex" w:history="1">
        <w:r>
          <w:rPr>
            <w:rFonts w:ascii="Arial" w:eastAsia="Arial" w:hAnsi="Arial" w:cs="Arial"/>
            <w:color w:val="0000EE"/>
            <w:sz w:val="21"/>
            <w:szCs w:val="21"/>
            <w:u w:val="single" w:color="0000EE"/>
          </w:rPr>
          <w:t>Uredbe 1306/2013/EU</w:t>
        </w:r>
      </w:hyperlink>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XIV. POSEBNA PRAVILA GLEDE PODPORE ZA SKLAD ESRR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(posebni pogoji za oblikovanje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 sredstev ESRR so upravičena samo naselja, ki so vključena v finančni okvir ESRR. Ne glede na določbo prejšnjega stavka do sredstev iz sklada ESRR niso upravičena naselja, določena v Prilogi 1, ki je sestavni del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Pogoj za oblikovanje LAS in črpanje sredstev iz naslova ESRR je, da območje vključuje najmanj eno naselje iz fiksnega dela in najmanj eno naselje iz variabilnega dela kot to določa točka b Priloge 4 te uredbe in Priloga 5, ki je sestavni del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lahko mestna občina iz Priloge 1 te uredbe, ki meji na območje LAS, za namen obračuna predstavlja naselje iz fiksnega dela v skladu s točko b) Priloge 4 te uredbe. Obseg fiksnega dela se obračuna samo v nominalnem znesku in se ne ponderira. Če naselje iz fiksnega dela meji na več območij LAS, se fiksni del izračuna v skladu s točko b) Priloge 4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opredelitvi finančnega okvira se upoštevata Odlok o strategiji prostorskega razvoja Slovenije (Uradni list RS, št. 76/04, 33/07 – ZPnačrt in 61/17 – ZUreP-2) in Statistični letopis RS 2013 (SURS), poglavje 32.1 Pregled mestnih naselij in naselij mestnih območij po mestnih območjih in občinah, merila za uvrstitev, podatki o prebivalstvu in delovno aktivnem prebivalstvu, 1. januar 2013.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Urbana območja, ki niso opredeljena v prejšnjem odstavku, so določena v seznamu dodatnih drugih urbanih območij, ki se za namen upravičenosti do sredstev ESRR za namen izvajanja te uredbe opredelijo po pretežnosti urbanih funkcij na urbanem območju. Merila za opredelitev dodatnih drugih urbanih območij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razpoložljivost infrastrukture: pošta, krajevni urad, varstvena, izobraževalna infrastruktura (šola, vrtec), sedež občine, zdravstvena, socialna infrastruktura, športno-rekreativna infrastruktura, kulturno-družbena infrastruktura,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prebivalcev, pri čemer se upošteva stanje na dan 1. julija 2014 (SURS 2014),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podjetij oziroma pravnih oseb v naselju,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društev in nevladnih organizacij v naselju.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Seznam dodatnih drugih urbanih območij iz prejšnjega odstavka določi minister, pristojen za gospodarstvo, izključno za namen upravičenosti do sredstev ESRR za izvajanje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Dodatna druga urbana območja, določena v seznamu iz prejšnjega odstavka, se opredelijo po pretežnosti razpoložljive infrastrukture v skladu z merili iz drugega odstavka tega člena. Upravičeno urbano naselje mora zagotavljati več kot polovico urbanih funkcij iz prve alineje drugega odstavka tega člena, sicer se uporabijo dodatna merila, opisana v Prilogi 4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Finančni okvir za posamezni LAS se izračuna po naslednji formuli: finančni okvir = fiksni del + variabilni del; pri čemer se: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fiksni del izračuna tako: 242.000 + (242.000 × število urbanih območij v središčih v somestjih × 0,20 + 242.000 × število medobčinskih središč × 0,30 + 242.000 × število regionalnih središč × 0,10);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variabilni del pa se izračuna tako: 138.000 + (138.000 × število funkcionalnih urbanih območij × 0,10 + 138.000 × število drugih urbanih območij × 0,30).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Nerazvrščena sredstva se do konca leta 2018 namenijo za podukrep »Podpora za izvajanje operacij v okviru strategije lokalnega razvoja, ki ga vodi skupnost«, in sicer v sorazmernem deležu odobrenih sredstev. Odobrena sredstva iz naslova nerazvrščenih sredstev ne vplivajo na spremembo glavnega sklada ter višino dodeljenih sredstev za podukrep »Podpora za tekoče stroške in stroške animacije«, kot izhaja iz odločbe o potrditvi SLR in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Poleg meril za izbor SLR in LAS iz prvega odstavka 17. člena te uredbe mora SLR, ki predvideva sofinanciranje iz ESRR, izpolnjevati tudi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predvidevati povezovanje med sektorji in lokalnimi akterji na način, ki ima multiplikacijske učinke na lokalni razvoj in na hierarhično višje dokumente;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predvidevati inovacije in doseganje rezultatov, ki zagotavljajo dolgoročne spremembe na najmanj enem od naslednjih področij:</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ustvarjanje delovnih mest in spodbujanje podjetniške aktivnosti,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socialno vključevanje ranljivih skupin ter</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varstvo okolja in ohranjanje narave.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drugi odstavek 30. člena te uredbe mora biti stopnja javne podpore iz naslova ESRR 80 odstotkov upravičenih stroškov operacije. Od tega znaša podpora Evropske unije 80 odstotkov in nacionalni javni prispevek iz državnega proračuna 20 odstotkov. Preostanek sredstev za pokritje upravičenih in neupravičenih stroškov operacije zagotavljajo upravičenci iz drugih javnih ali zasebnih virov.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Podukrep »Podpora za izvajanje operacij v okviru strategije lokalnega razvoja, ki ga vodi skupnost« se izvaja tako, da se za izvajanje integriranih operacij oblikujejo partnerstva pri prijavi in izvajanju posamezne operacije, katerih partnerji so med seboj sklenili konzorcijske pogodbe. Okvirno razmerje med operacijami, ki se izvajajo v obliki partnerstev, in operacijami, ki jih upravičenci prijavijo in izvajajo samostojno, je 70 : 30. Iz SLR mora biti razvidno, katera področja oziroma ukrepi se lahko izvajajo v obliki partnerstev. Tako v SLR kot v javnem pozivu, ki ga LAS pripravi v okviru SLR, mora biti ta določba jasno navedena in zapisana. Partnerstvo sestavljata najmanj dva partnerja, ki ju oziroma jih zastopa vodilni partner. Merilo za izbor operacij, ki se izvajajo v obliki partnerstev, LAS vključi v SLR in javni poziv za izbor operacij. Operacija, v katero je vključenih več partnerjev, prejme višje število točk.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Ne glede na drugi odstavek 37. člena te uredbe mora biti stopnja javne podpore za ESRR 80 odstotkov upravičenih stroškov posamezne operacije. Od tega znaša podpora Evropske unije 80 odstotkov in nacionalni javni prispevek iz državnega proračuna 20 odstotkov. Preostanek sredstev za izvedbo operacije zagotavljajo upravičenci iz drugih javnih ali zasebnih virov. Podpora iz naslova podukrepa »Priprava in izvajanje dejavnosti sodelovanja lokalne akcijske skupine« znaša največ pet odstotkov sredstev ESRR, ki se dodelijo za posamezni SLR. Operacije sodelovanja LAS morajo biti neinvesticijske narave. LAS za ta namen v SLR opredeli indikativno listo operacij sodelovanja LAS in jo že ob vložitvi SLR predloži MGRT v odobritev. Merila za uvrstitev operacij sodelovanja LAS na indikativno listo operacij v SLR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prispevek k ciljem enega izmed ukrepov v okviru pete prednostne naložbe devete prednostne osi OP EKP 2014–2020;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izkazan prispevek k specifičnim ciljem OP EKP 2014-2020, ki je komplementaren ukrepom iz prejšnje alineje;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izkazana pričakovana dodana vrednost k doseganju ciljev SLR in rasti delovnih mest iz naslova sodelovanja LAS;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izkazana trajnost sodelovanja v regijah vseh partnerjev, vključenih v sodelovanje LAS, ter prispevek k regionalnim razvojnim potrebam;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izkazana inovativnost ter prihodnja sposobnost preživetja na trgu;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prispevek operacije sodelovanja LAS h krepitvi zmogljivosti LAS (znanje, informacije) in s tem k večji socialni vključenosti lokalne skupnosti na območju LAS;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prispevek operacije sodelovanja k izmenjavi dobrih praks in pridobljenega znanja vseh partnerjev v dejavnosti »sodelovanja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Merila iz prejšnjega odstavka morajo biti izkazana tudi v vlogi in poročilu ob zaključku operacije.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Operacija se financira z viri, opredeljenimi v SLR, in ne posega v druge programe čezmejnega oziroma mednarodnega sodelovanja.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Za lokalna partnerstva, ki se oblikujejo v problemskih območjih, se finančni okvir ESRR poveča za 20 odstotkov v sorazmernem deležu, ki ga predstavlja problemsko območje znotraj LAS. LAS mora ta sredstva nameniti izključno za izvedbo operacij znotraj problemskih območij, ki so določena pri izračunu finančnega okvira ESRR.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(14)  </w:t>
      </w:r>
      <w:r>
        <w:rPr>
          <w:rFonts w:ascii="Arial" w:eastAsia="Arial" w:hAnsi="Arial" w:cs="Arial"/>
          <w:b/>
          <w:bCs/>
          <w:sz w:val="21"/>
          <w:szCs w:val="21"/>
        </w:rPr>
        <w:t>(črtan)</w:t>
      </w:r>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je glavni sklad ESRR, lahko LAS v skladu s predpisom, ki ureja izvajanje kohezijske politike v Republiki Sloveniji in zakonom, ki določa izvrševanje proračuna, na MGRT vloži zahtevek za izplačilo predplačila, namenjenega za izvajanje podukrepa »Podpora za tekoče stroške in stroške animacije«.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izplačilo predplačila mora LAS pridobiti primerno finančno zavarovanje na način, kot ga določa zakon, ki ureja izvrševanje proračuna.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LAS vloži zahtevek za izplačilo predplačila prek informacijskega sistema zadevnega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Zahtevek za izplačilo predplačila vsebuje sestavine, določene v Prilogi 8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upravičenost)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šesti odstavek 29. člena te uredbe mora biti operacija izvedena izven mestnih naselij mestnih občin, določenih v Prilogi 1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Operacija ne sme biti fizično dokončana ali v celoti izvedena pred sklenitvijo pogodbe o sofinanciranju med MGRT in upravičencem.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Upravičenec lahko v obdobju izvajanja operacije in pred nastankom sprememb največ enkrat zaprosi za spremembo operacije, če gre za spremenjene okoliščine, višjo silo in izjemne okoliščine, kot jih določa predpis, ki ureja izvajanje kohezijske politike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(upravičeni stroški)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skladu z drugim odstavkom 28. člena in tretjim odstavkom 35. člena te uredbe so upravičeni samo stroški, ki so nastali po oddaji vloge v odobritev na MGRT, vendar ne pred datumom začetka operacije.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je datum začetka upravičenosti stroškov storitev zunanjih izvajalcev iz petega odstavka 28. člena in petega odstavka 35. člena te uredbe 1. januar 2014.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četrti odstavek 29. člena te uredbe se operacija lahko začne izvajati pred obdobjem upravičenosti, vendar ne pred 1. januarjem 2014.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Podrobnejša pravila za upravičenost stroškov so določena s predpisom, ki ureja izvajanje kohezijske politike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predpis iz prejšnjega odstavka DDV ni upravičen strošek.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prvi odstavek 28. člena in drugi odstavek 35. člena te uredbe prispevek v naravi ni upravičen strošek.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(merila za izbor)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izboru operacij na območjih iz ZTNP-1, mora LAS upoštevati določbe ZTNP-1 in operacijam pripisati dodatne točke, v višini deset odstotkov od najvišjega možnega števila točk.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(vračilo sredstev in vzpostavitev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primeru neupravičenega koriščenja sredstev iz predpisa, ki ureja izvajanje kohezijske politike v Republiki Sloveniji MGRT vzpostavi terjatev do upravičenca. O tem obvesti organ upravljanja in organ za potrjevanje.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Postopek vračila se izvede v skladu s predpisi, ki urejajo izvajanje proračuna v Republiki Sloveniji.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XV. POSEBNA PRAVILA GLEDE PODPORE ZA SKLAD ESPR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(posebni pogoji za oblikovanje LAS)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LAS mora poleg zahtev iz 11., 12., 13., 14. in 15. člena te uredbe za območje sladkovodne akvakulture glede količine proizvodnje izpolnjevati naslednji dodatni pogoj pri: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hladnovodni akvakulturi: najmanj 50 ton letno skupaj na območju LAS, upošteva se povprečna proizvodnja za zadnje koledarsko leto, za katerega je SURS uradno objavil podatke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toplovodni akvakulturi: najmanj 30 ton letno skupaj na območju LAS, upošteva se povprečna proizvodnja za zadnje koledarsko leto, za katerega je SURS uradno objavil podatke.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območju LAS mora delovati najmanj pet gospodarskih subjektov, ki se ukvarjajo z vzrejo sladkovodnih organizmov, namenjenih za prehrano ljudi, in so registrirani za gojenje sladkovodnih organizmov v evidenci AJPES (šifra dejavnosti 03.220) ali registrirani v evidenci dopolnilnih dejavnosti na kmetiji ter imajo veljavno odločbo Uprave za varno hrano, veterinarstvo in varstvo rastlin o odobritvi proizvodnje akvakulture. Ta pogoj mora biti izpolnjen do oddaje SLR v pregled Koordinacijskemu odboru CLLD.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LAS, ki deluje na obalnem območju, mora izpolnjevati pogoje iz opredelitve ribiškega območja v skladu s 13. točko 2. člena te uredbe in v SLR vključiti sklad ESPR.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LAS, ki vključuje sklad ESPR, mora zagotoviti reprezentativno zastopanost predstavnikov ribiškega sektorja in sektorja akvakulture na izbranem območju v skladu s točko (b) tretjega odstavka 61. člena </w:t>
      </w:r>
      <w:hyperlink r:id="rId33" w:tgtFrame="_blank" w:tooltip="to EUR-Lex" w:history="1">
        <w:r>
          <w:rPr>
            <w:rFonts w:ascii="Arial" w:eastAsia="Arial" w:hAnsi="Arial" w:cs="Arial"/>
            <w:color w:val="0000EE"/>
            <w:sz w:val="21"/>
            <w:szCs w:val="21"/>
            <w:u w:val="single" w:color="0000EE"/>
          </w:rPr>
          <w:t>Uredbe 508/2014/EU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Lokalno partnerstvo, katerega SLR predvideva tudi financiranje iz naslova ESPR, mora v SLR vključiti podukrep »Priprava in izvajanje dejavnosti sodelovanja lokalne akcijske skupine«.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 potrditvi LAS in SLR se v skladu z 9. členom te uredbe med LAS iz naslova ESPR dodeli do 6.666.667 eurov za izvajanje podukrepov »Podpora za izvajanje operacij v okviru strategije lokalnega razvoja, ki ga vodi skupnost«, »Priprava in izvajanje dejavnosti sodelovanja lokalne akcijske skupine« in »Podpora za tekoče stroške in stroške animacije«.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podukrep »Pripravljalna podpora« je iz naslova ESPR namenjenih 53.333 eurov javne podpore, ki se izplača v skladu s tretjim odstavkom 24.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Finančni okvir za posamezni LAS se izračuna po naslednji formuli: finančni okvir = (število prebivalcev LAS x vrednost točke) + (površina LAS x vrednost točke) + (razvitost občin x vrednost točke). Vrednost posamezne točke je določena v Prilogi 4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izračunu finančnega okvira iz prejšnjega odstavka se upošteva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zaposlenih oseb v ribištvu na območju LAS,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število poslovnih subjektov v ribištvu na območju LAS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skupno število točk, ki jih SLR in LAS prejmeta v okviru točkovanja v skladu s Prilogo 3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Javna podpora se dodeljuje do njene 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Najvišja stopnja javne podpore, ki jo v skladu z drugim odstavkom 30. člena te uredbe lahko določi LAS, je 50 odstotkov upravičenih stroškov operacije.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 glede na prejšnji odstavek lahko LAS uporabi stopnjo javne podpore od 50 do 100 odstotkov skupnih upravičenih odhodkov, če operacija zagotavlja javni dostop do svojih rezultatov in izpolnjuje enega od naslednjih pogojev: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v javnem interesu,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skupnega upravičenca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inovativne značilnosti na lokalni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šesti odstavek tega člena lahko LAS za operacije v okviru izvajanja SLR uporabi naslednje stopnje javne podpore: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50 odstotkov, če se operacija izvaja za lastni interes in se po zaključku tudi trži;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80 odstotkov, če je operacija povezana z malim priobalnim ribolovom;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85 odstotkov, če operacija zagotavlja javni dostop in izpolnjuje enega od pogojev iz prejšnjega odstavka;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100 odstotkov, če je operacija v javnem interesu, splošno dostopna in se ne trži.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Ne glede na sedmi in osmi odstavek tega člena končno stopnjo javne podpore določi ARSKTRP z odločbo o odobritvi operacije.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Ne glede na drugi odstavek 37. člena te uredbe znaša stopnja javne podpore za podukrep »Priprava in izvajanje dejavnosti sodelovanja lokalne akcijske skupine« 85 odstotkov upravičenih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V skladu s četrtim odstavkom 30. člena te uredbe je najvišji dovoljeni znesek javne podpore za posamezno operacijo 200.000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V skladu s četrtim odstavkom 37. člena te uredbe je najvišji dovoljeni znesek javne podpore za posamezno operacijo 100.000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Za izvajanje podukrepa »Podpora za izvajanje operacij v okviru strategije lokalnega razvoja, ki ga vodi skupnost« iz naslova ESPR se LAS namenijo dodatna razpoložljiva sredstva v višini 1.000.000 eurov. Sredstva se LAS dodelijo sorazmerno glede na višino odobrenih sredstev na podlagi izdanih odločb o potrditvi operacij za izvajanje podukrepa »Podpora za izvajanje operacij v okviru strategije lokalnega razvoja, ki ga vodi skupnost«, za obdobje od potrditve SLR in LAS do vključno 30. septembra 2019. LAS mora spremembo SLR posredovati na naslov Koordinacijskega odbora CLLD iz tretjega odstavka 16. člena uredbe najpozneje do 30. novembra 2019. Pri obravnavi sprememb SLR se smiselno uporabljajo določbe 18. člena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Ne glede na peti odstavek 30. člena in šesti odstavek 37. člena te uredbe lahko LAS zahtevke za izplačilo za operacije iz podukrepa »Podpora za izvajanje operacij v okviru strategije lokalnega razvoja, ki ga vodi skupnost« in podukrepa »Priprava in izvajanja dejavnosti sodelovanja lokalne akcijske skupine« na ARSKTRP vlaga tekoče, s tem da posamezni zahtevek za izplačilo ne sme biti nižji od 5.000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(15) Ne glede na drugi odstavek 44. člena te uredbe lahko LAS zahtevke za izplačilo za podukrep »Podpora za tekoče stroške in stroške animacije« na ARSKTRP vlaga tekoče, s tem da posamezni zahtevek za izplačilo ne sme biti nižji od 5.000 eurov. LAS zahtevke v skladu s to določbo vlaga šele, ko so potrjene spremembe SLR v skladu z 18. členom te uredbe in trinajstim odstavkom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Kadar je glavni sklad ESPR, lahko LAS zaprosi za izplačilo predplačila v skladu z drugim odstavkom 62. člena </w:t>
      </w:r>
      <w:hyperlink r:id="rId33" w:tgtFrame="_blank" w:tooltip="to EUR-Lex" w:history="1">
        <w:r>
          <w:rPr>
            <w:rFonts w:ascii="Arial" w:eastAsia="Arial" w:hAnsi="Arial" w:cs="Arial"/>
            <w:color w:val="0000EE"/>
            <w:sz w:val="21"/>
            <w:szCs w:val="21"/>
            <w:u w:val="single" w:color="0000EE"/>
          </w:rPr>
          <w:t>Uredbe 508/2014/EU</w:t>
        </w:r>
      </w:hyperlink>
      <w:r>
        <w:rPr>
          <w:rFonts w:ascii="Arial" w:eastAsia="Arial" w:hAnsi="Arial" w:cs="Arial"/>
          <w:sz w:val="21"/>
          <w:szCs w:val="21"/>
        </w:rPr>
        <w:t>. Na ARSKTRP vloži zahtevek za izplačilo predplačila, namenjenega za izvajanje podukrepa »Podpora za tekoče stroške in stroške animacije«.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izplačilo predplačila mora LAS pridobiti bančno garancijo.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LAS vloži zahtevek za izplačilo predplačila prek informacijskega sistema zadevnega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Zahtevek za izplačilo predplačila vsebuje sestavine, določene v Prilogi 8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(upravičeni stroški)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Upravičenec mora vlogi za odobritev operacije iz prvega odstavka 45. člena te uredbe priložiti tržno primerljive pisne ponudbe najmanj treh ponudnikov, razen kadar: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vrste stroškov, ki so predpisani s strani države ali lokalne skupnosti,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stroške dela osebja iz prvega odstavka 28. člena te uredbe in drugega odstavka 35. člena te uredbe,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stroške prispevka v naravi iz prvega odstavka 28. člena te uredbe in drugega odstavka 35. člena te uredbe,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upravičenec naročnik v skladu s predpisi, ki urejajo javno naročanje,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vrsto stroška, za katero je na trgu le en ponudnik, kjer upravičenec priloži eno ponudbo.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Upravičenec mora zahtevku za izplačilo iz naslova podukrepa »Podpora za tekoče stroške in stroške animacije« priložiti tržno primerljive pisne ponudbe najmanj treh ponudnikov, razen kadar: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vrste stroškov iz prve ali tretje alineje prvega odstavka 41. člena te uredbe,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vrste stroškov, ki so predpisani s strani države ali lokalne skupnosti,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upravičenec naročnik v skladu s predpisi, ki urejajo javno naročanje,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vrsto stroška, za katero je na trgu le en ponudnik, kjer upravičenec priloži eno ponudbo,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gre za stroške dela ocenjevalne komisije iz 15. točke 12. člena te uredbe, kjer upravičenec predloži dokazila o izbiri članov ocenjevalne komisije na pregleden način.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Upravičenec mora vsem potencialnim ponudnikom poslati enako povpraševanje z navedenimi minimalnimi zahtevami. Ponudbe so tržno primerljive, če vsebujejo vse zahteve, ki jih je upravičenec navedel v povpraševanju. Pri izračunu višine upravičenih stroškov se upošteva vrednost najugodnejše ponudbe. Če ponudba ne vsebuje minimalnih zahtev, je upravičenec ne izbere.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vrednost upravičenega stroška ne presega 2.000 eurov, lahko upravičenec ne glede na prvi in drugi odstavek tega člena namesto tržno primerljivih pisnih ponudb vlogi za odobritev operacije iz prvega odstavka 45. člena te uredbe oziroma k zahtevku za izplačilo iz naslova podukrepa »Podpora za tekoče stroške in stroške animacije« priloži eno vabilo k dajanju ponudb ali katalog ali oglas, kot ga določa zakon, ki ureja obligacijska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vrste stroškov iz prvega in drugega odstavka tega člena mora upravičenec vlogi za odobritev operacije iz prvega odstavka 45. člena te uredbe in zahtevku za izplačilo iz naslova podukrepa »Podpora za tekoče stroške in stroške animacije« priložiti utemeljitev, iz katere je razvidno, da ni mogoče priložiti treh tržno primerljivih ponudb.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Strošek prispevka v naravi v obliki zagotavljanja dela ne sme presegati ocenjenih vrednosti ure prostovoljskega dela, kot so določene v predpisih, ki urejajo prostovoljstvo.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uradna oseba, ki vodi postopek, oceni, da so predvideni stroški za določeno operacijo glede na vrednost operacije nerealni oziroma previsoki, lahko dodatno preveri vrednosti operacije in v skladu z ugotovitvijo omeji priznano vrednost operacije.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 skladu z drugim odstavkom 28. člena in tretjim odstavkom 35. člena te uredbe so upravičeni samo stroški, ki so nastali po vložitvi vloge za odobritev operacije na ARSKTRP.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Ne glede na določbo prejšnjega odstavka je datum začetka upravičenosti stroškov storitev zunanjih izvajalcev iz petega odstavka 28. člena in petega odstavka 35. člena te uredbe 1. januar 2014.</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upravičenost)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Javna podpora iz naslova podukrepa »Podpora za izvajanje operacij v okviru strategije lokalnega razvoja, ki ga vodi skupnost« se dodeli za operacije, ki so v skladu s cilji 63. člena </w:t>
      </w:r>
      <w:hyperlink r:id="rId33" w:tgtFrame="_blank" w:tooltip="to EUR-Lex" w:history="1">
        <w:r>
          <w:rPr>
            <w:rFonts w:ascii="Arial" w:eastAsia="Arial" w:hAnsi="Arial" w:cs="Arial"/>
            <w:color w:val="0000EE"/>
            <w:sz w:val="21"/>
            <w:szCs w:val="21"/>
            <w:u w:val="single" w:color="0000EE"/>
          </w:rPr>
          <w:t>Uredbe 508/2014/EU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Javna podpora iz naslova podukrepa »Priprava in izvajanje dejavnosti sodelovanja lokalne akcijske skupine« se dodeli za operacije v skladu s 64. členom </w:t>
      </w:r>
      <w:hyperlink r:id="rId33" w:tgtFrame="_blank" w:tooltip="to EUR-Lex" w:history="1">
        <w:r>
          <w:rPr>
            <w:rFonts w:ascii="Arial" w:eastAsia="Arial" w:hAnsi="Arial" w:cs="Arial"/>
            <w:color w:val="0000EE"/>
            <w:sz w:val="21"/>
            <w:szCs w:val="21"/>
            <w:u w:val="single" w:color="0000EE"/>
          </w:rPr>
          <w:t>Uredbe 508/2014/EU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Dopustnost vlog se presoja v skladu z 10. členom </w:t>
      </w:r>
      <w:hyperlink r:id="rId33" w:tgtFrame="_blank" w:tooltip="to EUR-Lex" w:history="1">
        <w:r>
          <w:rPr>
            <w:rFonts w:ascii="Arial" w:eastAsia="Arial" w:hAnsi="Arial" w:cs="Arial"/>
            <w:color w:val="0000EE"/>
            <w:sz w:val="21"/>
            <w:szCs w:val="21"/>
            <w:u w:val="single" w:color="0000EE"/>
          </w:rPr>
          <w:t>Uredbe 508/2014/EU</w:t>
        </w:r>
      </w:hyperlink>
      <w:r>
        <w:rPr>
          <w:rFonts w:ascii="Arial" w:eastAsia="Arial" w:hAnsi="Arial" w:cs="Arial"/>
          <w:sz w:val="21"/>
          <w:szCs w:val="21"/>
        </w:rPr>
        <w:t xml:space="preserve">, </w:t>
      </w:r>
      <w:hyperlink r:id="rId71" w:tgtFrame="_blank" w:tooltip="to EUR-Lex" w:history="1">
        <w:r>
          <w:rPr>
            <w:rFonts w:ascii="Arial" w:eastAsia="Arial" w:hAnsi="Arial" w:cs="Arial"/>
            <w:color w:val="0000EE"/>
            <w:sz w:val="21"/>
            <w:szCs w:val="21"/>
            <w:u w:val="single" w:color="0000EE"/>
          </w:rPr>
          <w:t>Uredbo 2015/288/EU</w:t>
        </w:r>
      </w:hyperlink>
      <w:r>
        <w:rPr>
          <w:rFonts w:ascii="Arial" w:eastAsia="Arial" w:hAnsi="Arial" w:cs="Arial"/>
          <w:sz w:val="21"/>
          <w:szCs w:val="21"/>
        </w:rPr>
        <w:t xml:space="preserve"> in </w:t>
      </w:r>
      <w:hyperlink r:id="rId72" w:tgtFrame="_blank" w:tooltip="to EUR-Lex" w:history="1">
        <w:r>
          <w:rPr>
            <w:rFonts w:ascii="Arial" w:eastAsia="Arial" w:hAnsi="Arial" w:cs="Arial"/>
            <w:color w:val="0000EE"/>
            <w:sz w:val="21"/>
            <w:szCs w:val="21"/>
            <w:u w:val="single" w:color="0000EE"/>
          </w:rPr>
          <w:t>Uredbo 2015/2252/EU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v okviru izvajanja operacij SLR izvajajo operacije, ki so upravičene do podpore po drugih ukrepih ESPR, se ne glede na določbe šestega do devetega odstavka 75. člena te uredbe uporabijo pogoji, ki veljajo za posamezni ukrep.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javna podpora iz podukrepa »Podpora za izvajanje operacij v okviru strategije lokalnega razvoja, ki ga vodi skupnost« dodeli za nepremičnino ali premičnino, ki je v primeru naravnih in drugih nesreč na razpolago Upravi Republike Slovenije za zaščito in reševanje, mora upravičenec pred vložitvijo zadnjega zahtevka za izplačilo sredstev skleniti ustrezno pogodbo, skladno z zakonom, ki ureja varstvo pred naravnimi in drugimi nesrečami.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Upravičenec mora obveznost obveščanja javnosti izpolnjevati v skladu z </w:t>
      </w:r>
      <w:hyperlink r:id="rId43" w:tgtFrame="_blank" w:tooltip="to EUR-Lex" w:history="1">
        <w:r>
          <w:rPr>
            <w:rFonts w:ascii="Arial" w:eastAsia="Arial" w:hAnsi="Arial" w:cs="Arial"/>
            <w:color w:val="0000EE"/>
            <w:sz w:val="21"/>
            <w:szCs w:val="21"/>
            <w:u w:val="single" w:color="0000EE"/>
          </w:rPr>
          <w:t>Uredbo 763/2014/EU</w:t>
        </w:r>
      </w:hyperlink>
      <w:r>
        <w:rPr>
          <w:rFonts w:ascii="Arial" w:eastAsia="Arial" w:hAnsi="Arial" w:cs="Arial"/>
          <w:sz w:val="21"/>
          <w:szCs w:val="21"/>
        </w:rPr>
        <w:t xml:space="preserve"> ter Navodili za informiranje in obveščanje javnosti o operacijah, ki prejemajo podporo iz OP ESPR 2014–2020, objavljenimi na spletni strani OP ESPR 2014–2020, pet let od datuma zadnjega izplačila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Operacija ne sme biti fizično dokončana ali v celoti izvedena pred izdajo odločbe, s katero ARSKTRP odobri izvajanje operacije.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(neupravičene operacije)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V okviru ESPR niso upravičene operacije, ki so navedene v 11. členu </w:t>
      </w:r>
      <w:hyperlink r:id="rId33" w:tgtFrame="_blank" w:tooltip="to EUR-Lex" w:history="1">
        <w:r>
          <w:rPr>
            <w:rFonts w:ascii="Arial" w:eastAsia="Arial" w:hAnsi="Arial" w:cs="Arial"/>
            <w:color w:val="0000EE"/>
            <w:sz w:val="21"/>
            <w:szCs w:val="21"/>
            <w:u w:val="single" w:color="0000EE"/>
          </w:rPr>
          <w:t>Uredbe 508/2014/EU</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(višja sila in izjemne okoliščine)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Višja sila in izjemne okoliščine za namen sklada ESPR pomenijo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hudo naravno nesrečo, ki resno prizadene gospodarsko dejavnost upravičenca;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uničenje objektov za izvajanje gospodarske dejavnosti zaradi nesreče ali kraje;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pogin vodnih organizmov, ki prizadene del ali vse vodne organizme upravičenca;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izredne razmere, povezane z epidemijo ali ekonomsko krizo, ki bistveno vplivajo na poslovanje upravičenca;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bolezen ali smrt upravičenca.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 višji sili ali izjemnih okoliščinah mora upravičenec ali njegova pooblaščena oseba ARSKTRP pisno obvestiti in predložiti ustrezna dokazila v 15 delovnih dneh od dneva, ko je upravičenec ali njegova pooblaščena oseba to zmožna storiti.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višji sili ali izjemnih okoliščinah odloči ARSKTRP in na podlagi prejetih dokazil izda odločbo ob smiselni uporabi predpisov, ki urejajo višjo silo.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XVI. JAVNI POZIV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(javni poziv za oblikovanje lokalnih partnerstev in pripravo SLR)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Javni poziv za oblikovanje lokalnih partnerstev in pripravo SLR se objavi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 objave javnega poziva začne teči dvanajstmesečni rok za predložitev SLR v potrditev zadevnim organom upravljanja.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XVII. PREHODNA IN 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(odločitev o SLR)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te uredbe se v delu, ki se nanašajo na sklad ESPR, začnejo uporabljati, ko je operativni program odobren s strani Evropske komisije in minister, pristojen za ribištvo, o tem objavi obvestilo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Obvestilo iz prejšnjega odstavka objavi MKGP.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prvi odstavek tega člena se lahko SLR vlagajo v odobritev od objave javnega poziva iz prejšnjega člena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uredba začne veljati naslednji dan po objavi v Uradnem listu Republike Slovenije.</w:t>
      </w:r>
    </w:p>
    <w:p>
      <w:pPr>
        <w:pStyle w:val="priloga"/>
        <w:spacing w:before="210" w:after="210"/>
        <w:ind w:left="0" w:right="0"/>
        <w:rPr>
          <w:rFonts w:ascii="Arial" w:eastAsia="Arial" w:hAnsi="Arial" w:cs="Arial"/>
          <w:sz w:val="21"/>
          <w:szCs w:val="21"/>
        </w:rPr>
      </w:pPr>
      <w:hyperlink r:id="rId85" w:history="1">
        <w:r>
          <w:rPr>
            <w:rFonts w:ascii="Arial" w:eastAsia="Arial" w:hAnsi="Arial" w:cs="Arial"/>
            <w:color w:val="0000EE"/>
            <w:sz w:val="21"/>
            <w:szCs w:val="21"/>
            <w:u w:val="single" w:color="0000EE"/>
          </w:rPr>
          <w:t>Priloga 1: Seznam mestnih naselij mestnih občin</w:t>
        </w:r>
      </w:hyperlink>
    </w:p>
    <w:p>
      <w:pPr>
        <w:pStyle w:val="priloga"/>
        <w:spacing w:before="210" w:after="210"/>
        <w:ind w:left="0" w:right="0"/>
        <w:rPr>
          <w:rFonts w:ascii="Arial" w:eastAsia="Arial" w:hAnsi="Arial" w:cs="Arial"/>
          <w:sz w:val="21"/>
          <w:szCs w:val="21"/>
        </w:rPr>
      </w:pPr>
      <w:hyperlink r:id="rId86" w:history="1">
        <w:r>
          <w:rPr>
            <w:rFonts w:ascii="Arial" w:eastAsia="Arial" w:hAnsi="Arial" w:cs="Arial"/>
            <w:color w:val="0000EE"/>
            <w:sz w:val="21"/>
            <w:szCs w:val="21"/>
            <w:u w:val="single" w:color="0000EE"/>
          </w:rPr>
          <w:t>Priloga 2: Seznam naselij z več kot 10.000 prebivalci</w:t>
        </w:r>
      </w:hyperlink>
    </w:p>
    <w:p>
      <w:pPr>
        <w:pStyle w:val="priloga"/>
        <w:spacing w:before="210" w:after="210"/>
        <w:ind w:left="0" w:right="0"/>
        <w:rPr>
          <w:rFonts w:ascii="Arial" w:eastAsia="Arial" w:hAnsi="Arial" w:cs="Arial"/>
          <w:sz w:val="21"/>
          <w:szCs w:val="21"/>
        </w:rPr>
      </w:pPr>
      <w:hyperlink r:id="rId87" w:history="1">
        <w:r>
          <w:rPr>
            <w:rFonts w:ascii="Arial" w:eastAsia="Arial" w:hAnsi="Arial" w:cs="Arial"/>
            <w:color w:val="0000EE"/>
            <w:sz w:val="21"/>
            <w:szCs w:val="21"/>
            <w:u w:val="single" w:color="0000EE"/>
          </w:rPr>
          <w:t>Priloga 3: Merila za izbor SLR in LAS</w:t>
        </w:r>
      </w:hyperlink>
    </w:p>
    <w:p>
      <w:pPr>
        <w:pStyle w:val="priloga"/>
        <w:spacing w:before="210" w:after="210"/>
        <w:ind w:left="0" w:right="0"/>
        <w:rPr>
          <w:rFonts w:ascii="Arial" w:eastAsia="Arial" w:hAnsi="Arial" w:cs="Arial"/>
          <w:sz w:val="21"/>
          <w:szCs w:val="21"/>
        </w:rPr>
      </w:pPr>
      <w:hyperlink r:id="rId88" w:history="1">
        <w:r>
          <w:rPr>
            <w:rFonts w:ascii="Arial" w:eastAsia="Arial" w:hAnsi="Arial" w:cs="Arial"/>
            <w:color w:val="0000EE"/>
            <w:sz w:val="21"/>
            <w:szCs w:val="21"/>
            <w:u w:val="single" w:color="0000EE"/>
          </w:rPr>
          <w:t>Priloga 4: Vrednost točke za izračun finančnega okvira</w:t>
        </w:r>
      </w:hyperlink>
    </w:p>
    <w:p>
      <w:pPr>
        <w:pStyle w:val="priloga"/>
        <w:spacing w:before="210" w:after="210"/>
        <w:ind w:left="0" w:right="0"/>
        <w:rPr>
          <w:rFonts w:ascii="Arial" w:eastAsia="Arial" w:hAnsi="Arial" w:cs="Arial"/>
          <w:sz w:val="21"/>
          <w:szCs w:val="21"/>
        </w:rPr>
      </w:pPr>
      <w:hyperlink r:id="rId89" w:history="1">
        <w:r>
          <w:rPr>
            <w:rFonts w:ascii="Arial" w:eastAsia="Arial" w:hAnsi="Arial" w:cs="Arial"/>
            <w:color w:val="0000EE"/>
            <w:sz w:val="21"/>
            <w:szCs w:val="21"/>
            <w:u w:val="single" w:color="0000EE"/>
          </w:rPr>
          <w:t>Priloga 5: Preglednica za izračun fiksnega dela za določitev finančnega okvira iz naslova ESRR</w:t>
        </w:r>
      </w:hyperlink>
    </w:p>
    <w:p>
      <w:pPr>
        <w:pStyle w:val="priloga"/>
        <w:spacing w:before="210" w:after="210"/>
        <w:ind w:left="0" w:right="0"/>
        <w:rPr>
          <w:rFonts w:ascii="Arial" w:eastAsia="Arial" w:hAnsi="Arial" w:cs="Arial"/>
          <w:sz w:val="21"/>
          <w:szCs w:val="21"/>
        </w:rPr>
      </w:pPr>
      <w:hyperlink r:id="rId90" w:history="1">
        <w:r>
          <w:rPr>
            <w:rFonts w:ascii="Arial" w:eastAsia="Arial" w:hAnsi="Arial" w:cs="Arial"/>
            <w:color w:val="0000EE"/>
            <w:sz w:val="21"/>
            <w:szCs w:val="21"/>
            <w:u w:val="single" w:color="0000EE"/>
          </w:rPr>
          <w:t>Priloga 6: Koeficienti razvitosti občin za leto 2015</w:t>
        </w:r>
      </w:hyperlink>
    </w:p>
    <w:p>
      <w:pPr>
        <w:pStyle w:val="priloga"/>
        <w:spacing w:before="210" w:after="210"/>
        <w:ind w:left="0" w:right="0"/>
        <w:rPr>
          <w:rFonts w:ascii="Arial" w:eastAsia="Arial" w:hAnsi="Arial" w:cs="Arial"/>
          <w:sz w:val="21"/>
          <w:szCs w:val="21"/>
        </w:rPr>
      </w:pPr>
      <w:hyperlink r:id="rId91" w:history="1">
        <w:r>
          <w:rPr>
            <w:rFonts w:ascii="Arial" w:eastAsia="Arial" w:hAnsi="Arial" w:cs="Arial"/>
            <w:color w:val="0000EE"/>
            <w:sz w:val="21"/>
            <w:szCs w:val="21"/>
            <w:u w:val="single" w:color="0000EE"/>
          </w:rPr>
          <w:t>Priloga 7: Obrazec za izdelavo strategije lokalnega razvoja</w:t>
        </w:r>
      </w:hyperlink>
    </w:p>
    <w:p>
      <w:pPr>
        <w:pStyle w:val="priloga"/>
        <w:spacing w:before="210" w:after="210"/>
        <w:ind w:left="0" w:right="0"/>
        <w:rPr>
          <w:rFonts w:ascii="Arial" w:eastAsia="Arial" w:hAnsi="Arial" w:cs="Arial"/>
          <w:sz w:val="21"/>
          <w:szCs w:val="21"/>
        </w:rPr>
      </w:pPr>
      <w:hyperlink r:id="rId92" w:history="1">
        <w:r>
          <w:rPr>
            <w:rFonts w:ascii="Arial" w:eastAsia="Arial" w:hAnsi="Arial" w:cs="Arial"/>
            <w:color w:val="0000EE"/>
            <w:sz w:val="21"/>
            <w:szCs w:val="21"/>
            <w:u w:val="single" w:color="0000EE"/>
          </w:rPr>
          <w:t>Priloga 8: Sestavine vlog, zahtevkov za izplačilo in poročil o doseganju ciljev SLR</w:t>
        </w:r>
      </w:hyperlink>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 w:type="paragraph" w:customStyle="1" w:styleId="p">
    <w:name w:val="p"/>
    <w:basedOn w:val="Normal"/>
    <w:rPr>
      <w:sz w:val="21"/>
      <w:szCs w:val="21"/>
    </w:rPr>
  </w:style>
  <w:style w:type="paragraph" w:customStyle="1" w:styleId="alineazastevilcnotocko">
    <w:name w:val="alinea_za_stevilcno_tocko"/>
    <w:basedOn w:val="Normal"/>
    <w:pPr>
      <w:ind w:hanging="142"/>
      <w:jc w:val="both"/>
    </w:pPr>
  </w:style>
  <w:style w:type="paragraph" w:customStyle="1" w:styleId="crkovnatockazastevilcnotocko">
    <w:name w:val="crkovna_tocka_za_stevilcno_tocko"/>
    <w:basedOn w:val="Normal"/>
    <w:pPr>
      <w:ind w:hanging="356"/>
      <w:jc w:val="both"/>
    </w:pPr>
  </w:style>
  <w:style w:type="paragraph" w:customStyle="1" w:styleId="crkovnatockazaodstavkom">
    <w:name w:val="crkovna_tocka_za_odstavkom"/>
    <w:basedOn w:val="Normal"/>
    <w:pPr>
      <w:ind w:hanging="425"/>
      <w:jc w:val="both"/>
    </w:pPr>
  </w:style>
  <w:style w:type="paragraph" w:customStyle="1" w:styleId="alineazacrkovnotocko">
    <w:name w:val="alinea_za_crkovno_tocko"/>
    <w:basedOn w:val="Normal"/>
    <w:pPr>
      <w:ind w:hanging="142"/>
      <w:jc w:val="both"/>
    </w:pPr>
  </w:style>
  <w:style w:type="paragraph" w:customStyle="1" w:styleId="priloga">
    <w:name w:val="priloga"/>
    <w:basedOn w:val="Normal"/>
    <w:pPr>
      <w:pBdr>
        <w:top w:val="none" w:sz="0" w:space="24" w:color="auto"/>
        <w:bottom w:val="none" w:sz="0" w:space="3" w:color="auto"/>
      </w:pBdr>
      <w:spacing w:line="20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ata.europa.eu/eli/reg/2013/1303/oj" TargetMode="External" /><Relationship Id="rId11" Type="http://schemas.openxmlformats.org/officeDocument/2006/relationships/hyperlink" Target="http://data.europa.eu/eli/reg/2006/1083/oj" TargetMode="External" /><Relationship Id="rId12" Type="http://schemas.openxmlformats.org/officeDocument/2006/relationships/hyperlink" Target="http://data.europa.eu/eli/dir/2003/87/oj" TargetMode="External" /><Relationship Id="rId13" Type="http://schemas.openxmlformats.org/officeDocument/2006/relationships/hyperlink" Target="http://data.europa.eu/eli/reg/2021/1058/oj" TargetMode="External" /><Relationship Id="rId14" Type="http://schemas.openxmlformats.org/officeDocument/2006/relationships/hyperlink" Target="http://data.europa.eu/eli/reg/2021/1056/oj" TargetMode="External" /><Relationship Id="rId15" Type="http://schemas.openxmlformats.org/officeDocument/2006/relationships/hyperlink" Target="http://data.europa.eu/eli/reg/2021/1057/oj" TargetMode="External" /><Relationship Id="rId16" Type="http://schemas.openxmlformats.org/officeDocument/2006/relationships/hyperlink" Target="http://data.europa.eu/eli/reg/2013/1305/oj" TargetMode="External" /><Relationship Id="rId17" Type="http://schemas.openxmlformats.org/officeDocument/2006/relationships/hyperlink" Target="http://data.europa.eu/eli/reg/2005/1698/oj" TargetMode="External" /><Relationship Id="rId18" Type="http://schemas.openxmlformats.org/officeDocument/2006/relationships/hyperlink" Target="http://data.europa.eu/eli/reg/2013/1306/oj" TargetMode="External" /><Relationship Id="rId19" Type="http://schemas.openxmlformats.org/officeDocument/2006/relationships/hyperlink" Target="http://data.europa.eu/eli/reg/2024/2445/oj" TargetMode="External" /><Relationship Id="rId2" Type="http://schemas.openxmlformats.org/officeDocument/2006/relationships/webSettings" Target="webSettings.xml" /><Relationship Id="rId20" Type="http://schemas.openxmlformats.org/officeDocument/2006/relationships/hyperlink" Target="http://data.europa.eu/eli/reg/2013/1310/oj" TargetMode="External" /><Relationship Id="rId21" Type="http://schemas.openxmlformats.org/officeDocument/2006/relationships/hyperlink" Target="http://data.europa.eu/eli/reg/2009/73/oj" TargetMode="External" /><Relationship Id="rId22" Type="http://schemas.openxmlformats.org/officeDocument/2006/relationships/hyperlink" Target="http://data.europa.eu/eli/reg/2013/1307/oj" TargetMode="External" /><Relationship Id="rId23" Type="http://schemas.openxmlformats.org/officeDocument/2006/relationships/hyperlink" Target="http://data.europa.eu/eli/reg/2013/1308/oj" TargetMode="External" /><Relationship Id="rId24" Type="http://schemas.openxmlformats.org/officeDocument/2006/relationships/hyperlink" Target="http://data.europa.eu/eli/reg/2013/1407/oj" TargetMode="External" /><Relationship Id="rId25" Type="http://schemas.openxmlformats.org/officeDocument/2006/relationships/hyperlink" Target="http://data.europa.eu/eli/reg_impl/2014/184/oj" TargetMode="External" /><Relationship Id="rId26" Type="http://schemas.openxmlformats.org/officeDocument/2006/relationships/hyperlink" Target="http://data.europa.eu/eli/reg/2013/1299/oj" TargetMode="External" /><Relationship Id="rId27" Type="http://schemas.openxmlformats.org/officeDocument/2006/relationships/hyperlink" Target="http://data.europa.eu/eli/reg_impl/2021/438/oj" TargetMode="External" /><Relationship Id="rId28" Type="http://schemas.openxmlformats.org/officeDocument/2006/relationships/hyperlink" Target="http://data.europa.eu/eli/reg_impl/2014/215/oj" TargetMode="External" /><Relationship Id="rId29" Type="http://schemas.openxmlformats.org/officeDocument/2006/relationships/hyperlink" Target="http://data.europa.eu/eli/reg_impl/2021/439/oj" TargetMode="External" /><Relationship Id="rId3" Type="http://schemas.openxmlformats.org/officeDocument/2006/relationships/fontTable" Target="fontTable.xml" /><Relationship Id="rId30" Type="http://schemas.openxmlformats.org/officeDocument/2006/relationships/hyperlink" Target="http://data.europa.eu/eli/reg_del/2014/240/oj" TargetMode="External" /><Relationship Id="rId31" Type="http://schemas.openxmlformats.org/officeDocument/2006/relationships/hyperlink" Target="http://data.europa.eu/eli/reg_del/2014/480/oj" TargetMode="External" /><Relationship Id="rId32" Type="http://schemas.openxmlformats.org/officeDocument/2006/relationships/hyperlink" Target="http://data.europa.eu/eli/reg_del/2019/886/oj" TargetMode="External" /><Relationship Id="rId33" Type="http://schemas.openxmlformats.org/officeDocument/2006/relationships/hyperlink" Target="http://data.europa.eu/eli/reg/2014/508/oj" TargetMode="External" /><Relationship Id="rId34" Type="http://schemas.openxmlformats.org/officeDocument/2006/relationships/hyperlink" Target="http://data.europa.eu/eli/reg/2003/2328/oj" TargetMode="External" /><Relationship Id="rId35" Type="http://schemas.openxmlformats.org/officeDocument/2006/relationships/hyperlink" Target="http://data.europa.eu/eli/reg/2011/1255/oj" TargetMode="External" /><Relationship Id="rId36" Type="http://schemas.openxmlformats.org/officeDocument/2006/relationships/hyperlink" Target="http://data.europa.eu/eli/reg/2022/1278/oj" TargetMode="External" /><Relationship Id="rId37" Type="http://schemas.openxmlformats.org/officeDocument/2006/relationships/hyperlink" Target="http://data.europa.eu/eli/reg_del/2014/522/oj" TargetMode="External" /><Relationship Id="rId38" Type="http://schemas.openxmlformats.org/officeDocument/2006/relationships/hyperlink" Target="http://data.europa.eu/eli/reg_del/2017/2056/oj" TargetMode="External" /><Relationship Id="rId39" Type="http://schemas.openxmlformats.org/officeDocument/2006/relationships/hyperlink" Target="http://data.europa.eu/eli/reg_del/2014/640/oj" TargetMode="External" /><Relationship Id="rId4" Type="http://schemas.openxmlformats.org/officeDocument/2006/relationships/hyperlink" Target="https://www.eu-skladi.si/sl/ekp/kljucni-dokumenti," TargetMode="External" /><Relationship Id="rId40" Type="http://schemas.openxmlformats.org/officeDocument/2006/relationships/hyperlink" Target="http://data.europa.eu/eli/reg_del/2021/1418/oj" TargetMode="External" /><Relationship Id="rId41" Type="http://schemas.openxmlformats.org/officeDocument/2006/relationships/hyperlink" Target="http://data.europa.eu/eli/reg/2014/640/oj" TargetMode="External" /><Relationship Id="rId42" Type="http://schemas.openxmlformats.org/officeDocument/2006/relationships/hyperlink" Target="http://data.europa.eu/eli/reg_impl/2014/763/oj" TargetMode="External" /><Relationship Id="rId43" Type="http://schemas.openxmlformats.org/officeDocument/2006/relationships/hyperlink" Target="http://data.europa.eu/eli/reg/2014/763/oj" TargetMode="External" /><Relationship Id="rId44" Type="http://schemas.openxmlformats.org/officeDocument/2006/relationships/hyperlink" Target="http://data.europa.eu/eli/reg_impl/2014/771/oj" TargetMode="External" /><Relationship Id="rId45" Type="http://schemas.openxmlformats.org/officeDocument/2006/relationships/hyperlink" Target="http://data.europa.eu/eli/reg_impl/2020/1027/oj" TargetMode="External" /><Relationship Id="rId46" Type="http://schemas.openxmlformats.org/officeDocument/2006/relationships/hyperlink" Target="http://data.europa.eu/eli/reg_impl/2014/1242/oj" TargetMode="External" /><Relationship Id="rId47" Type="http://schemas.openxmlformats.org/officeDocument/2006/relationships/hyperlink" Target="http://data.europa.eu/eli/reg_impl/2014/1243/oj" TargetMode="External" /><Relationship Id="rId48" Type="http://schemas.openxmlformats.org/officeDocument/2006/relationships/hyperlink" Target="http://data.europa.eu/eli/reg/2014/771/oj" TargetMode="External" /><Relationship Id="rId49" Type="http://schemas.openxmlformats.org/officeDocument/2006/relationships/hyperlink" Target="http://data.europa.eu/eli/reg_impl/2014/772/oj" TargetMode="External" /><Relationship Id="rId5" Type="http://schemas.openxmlformats.org/officeDocument/2006/relationships/hyperlink" Target="http://www.program-podezelja.si%29," TargetMode="External" /><Relationship Id="rId50" Type="http://schemas.openxmlformats.org/officeDocument/2006/relationships/hyperlink" Target="http://data.europa.eu/eli/reg_impl/2014/808/oj" TargetMode="External" /><Relationship Id="rId51" Type="http://schemas.openxmlformats.org/officeDocument/2006/relationships/hyperlink" Target="http://data.europa.eu/eli/reg/2014/808/oj" TargetMode="External" /><Relationship Id="rId52" Type="http://schemas.openxmlformats.org/officeDocument/2006/relationships/hyperlink" Target="http://data.europa.eu/eli/reg_impl/2014/809/oj" TargetMode="External" /><Relationship Id="rId53" Type="http://schemas.openxmlformats.org/officeDocument/2006/relationships/hyperlink" Target="http://data.europa.eu/eli/reg/2014/809/oj" TargetMode="External" /><Relationship Id="rId54" Type="http://schemas.openxmlformats.org/officeDocument/2006/relationships/hyperlink" Target="http://data.europa.eu/eli/reg_impl/2014/821/oj" TargetMode="External" /><Relationship Id="rId55" Type="http://schemas.openxmlformats.org/officeDocument/2006/relationships/hyperlink" Target="http://data.europa.eu/eli/reg_impl/2019/255/oj" TargetMode="External" /><Relationship Id="rId56" Type="http://schemas.openxmlformats.org/officeDocument/2006/relationships/hyperlink" Target="http://data.europa.eu/eli/reg_del/2014/907/oj" TargetMode="External" /><Relationship Id="rId57" Type="http://schemas.openxmlformats.org/officeDocument/2006/relationships/hyperlink" Target="http://data.europa.eu/eli/reg/1994/3330/oj" TargetMode="External" /><Relationship Id="rId58" Type="http://schemas.openxmlformats.org/officeDocument/2006/relationships/hyperlink" Target="http://data.europa.eu/eli/reg/1995/2810/oj" TargetMode="External" /><Relationship Id="rId59" Type="http://schemas.openxmlformats.org/officeDocument/2006/relationships/hyperlink" Target="http://data.europa.eu/eli/reg_impl/2013/1373/oj" TargetMode="External" /><Relationship Id="rId6" Type="http://schemas.openxmlformats.org/officeDocument/2006/relationships/hyperlink" Target="http://www.ribiski-sklad.si/%29," TargetMode="External" /><Relationship Id="rId60" Type="http://schemas.openxmlformats.org/officeDocument/2006/relationships/hyperlink" Target="http://data.europa.eu/eli/reg/2014/907/oj" TargetMode="External" /><Relationship Id="rId61" Type="http://schemas.openxmlformats.org/officeDocument/2006/relationships/hyperlink" Target="http://data.europa.eu/eli/reg_impl/2014/908/oj" TargetMode="External" /><Relationship Id="rId62" Type="http://schemas.openxmlformats.org/officeDocument/2006/relationships/hyperlink" Target="http://data.europa.eu/eli/reg_impl/2022/128/oj" TargetMode="External" /><Relationship Id="rId63" Type="http://schemas.openxmlformats.org/officeDocument/2006/relationships/hyperlink" Target="http://data.europa.eu/eli/reg_impl/2014/1011/oj" TargetMode="External" /><Relationship Id="rId64" Type="http://schemas.openxmlformats.org/officeDocument/2006/relationships/hyperlink" Target="http://data.europa.eu/eli/reg_impl/2021/437/oj" TargetMode="External" /><Relationship Id="rId65" Type="http://schemas.openxmlformats.org/officeDocument/2006/relationships/hyperlink" Target="http://data.europa.eu/eli/reg_del/2014/1014/oj" TargetMode="External" /><Relationship Id="rId66" Type="http://schemas.openxmlformats.org/officeDocument/2006/relationships/hyperlink" Target="http://data.europa.eu/eli/reg/2006/861/oj" TargetMode="External" /><Relationship Id="rId67" Type="http://schemas.openxmlformats.org/officeDocument/2006/relationships/hyperlink" Target="http://data.europa.eu/eli/reg/2006/1198/oj" TargetMode="External" /><Relationship Id="rId68" Type="http://schemas.openxmlformats.org/officeDocument/2006/relationships/hyperlink" Target="http://data.europa.eu/eli/reg/2007/791/oj" TargetMode="External" /><Relationship Id="rId69" Type="http://schemas.openxmlformats.org/officeDocument/2006/relationships/hyperlink" Target="http://data.europa.eu/eli/reg_del/2015/288/oj" TargetMode="External" /><Relationship Id="rId7" Type="http://schemas.openxmlformats.org/officeDocument/2006/relationships/hyperlink" Target="http://data.europa.eu/eli/reg/2013/1301/oj" TargetMode="External" /><Relationship Id="rId70" Type="http://schemas.openxmlformats.org/officeDocument/2006/relationships/hyperlink" Target="http://data.europa.eu/eli/reg_del/2015/2252/oj" TargetMode="External" /><Relationship Id="rId71" Type="http://schemas.openxmlformats.org/officeDocument/2006/relationships/hyperlink" Target="http://data.europa.eu/eli/reg/2015/288/oj" TargetMode="External" /><Relationship Id="rId72" Type="http://schemas.openxmlformats.org/officeDocument/2006/relationships/hyperlink" Target="http://data.europa.eu/eli/reg/2015/2252/oj" TargetMode="External" /><Relationship Id="rId73" Type="http://schemas.openxmlformats.org/officeDocument/2006/relationships/hyperlink" Target="http://data.europa.eu/eli/reg/2020/2220/oj" TargetMode="External" /><Relationship Id="rId74" Type="http://schemas.openxmlformats.org/officeDocument/2006/relationships/hyperlink" Target="http://data.europa.eu/eli/reg/2013/1303/art_14/oj" TargetMode="External" /><Relationship Id="rId75" Type="http://schemas.openxmlformats.org/officeDocument/2006/relationships/hyperlink" Target="http://data.europa.eu/eli/reg/2013/1304/oj" TargetMode="External" /><Relationship Id="rId76" Type="http://schemas.openxmlformats.org/officeDocument/2006/relationships/hyperlink" Target="http://data.europa.eu/eli/reg/2006/1081/oj" TargetMode="External" /><Relationship Id="rId77" Type="http://schemas.openxmlformats.org/officeDocument/2006/relationships/hyperlink" Target="http://data.europa.eu/eli/reg/2015/779/oj" TargetMode="External" /><Relationship Id="rId78" Type="http://schemas.openxmlformats.org/officeDocument/2006/relationships/hyperlink" Target="http://data.europa.eu/eli/reg/2014/702/oj" TargetMode="External" /><Relationship Id="rId79" Type="http://schemas.openxmlformats.org/officeDocument/2006/relationships/hyperlink" Target="http://data.europa.eu/eli/treaty/tfeu_2016/art_107/oj" TargetMode="External" /><Relationship Id="rId8" Type="http://schemas.openxmlformats.org/officeDocument/2006/relationships/hyperlink" Target="http://data.europa.eu/eli/reg/2006/1080/oj" TargetMode="External" /><Relationship Id="rId80" Type="http://schemas.openxmlformats.org/officeDocument/2006/relationships/hyperlink" Target="http://data.europa.eu/eli/treaty/tfeu_2016/art_108/oj" TargetMode="External" /><Relationship Id="rId81" Type="http://schemas.openxmlformats.org/officeDocument/2006/relationships/hyperlink" Target="http://data.europa.eu/eli/reg/2015/1303/oj" TargetMode="External" /><Relationship Id="rId82" Type="http://schemas.openxmlformats.org/officeDocument/2006/relationships/hyperlink" Target="https://drr-razpisi.gov.si/CLLD" TargetMode="External" /><Relationship Id="rId83" Type="http://schemas.openxmlformats.org/officeDocument/2006/relationships/hyperlink" Target="http://e-kmetija.gov.si," TargetMode="External" /><Relationship Id="rId84" Type="http://schemas.openxmlformats.org/officeDocument/2006/relationships/hyperlink" Target="http://data.europa.eu/eli/reg/2013/1306/art_63/oj" TargetMode="External" /><Relationship Id="rId85" Type="http://schemas.openxmlformats.org/officeDocument/2006/relationships/hyperlink" Target="https://pisrs.si/api/datoteke/integracije/358502548" TargetMode="External" /><Relationship Id="rId86" Type="http://schemas.openxmlformats.org/officeDocument/2006/relationships/hyperlink" Target="https://pisrs.si/api/datoteke/integracije/358502551" TargetMode="External" /><Relationship Id="rId87" Type="http://schemas.openxmlformats.org/officeDocument/2006/relationships/hyperlink" Target="https://pisrs.si/api/datoteke/integracije/358502554" TargetMode="External" /><Relationship Id="rId88" Type="http://schemas.openxmlformats.org/officeDocument/2006/relationships/hyperlink" Target="https://pisrs.si/api/datoteke/integracije/358502557" TargetMode="External" /><Relationship Id="rId89" Type="http://schemas.openxmlformats.org/officeDocument/2006/relationships/hyperlink" Target="https://pisrs.si/api/datoteke/integracije/358502560" TargetMode="External" /><Relationship Id="rId9" Type="http://schemas.openxmlformats.org/officeDocument/2006/relationships/hyperlink" Target="http://data.europa.eu/eli/reg/2020/558/oj" TargetMode="External" /><Relationship Id="rId90" Type="http://schemas.openxmlformats.org/officeDocument/2006/relationships/hyperlink" Target="https://pisrs.si/api/datoteke/integracije/358502563" TargetMode="External" /><Relationship Id="rId91" Type="http://schemas.openxmlformats.org/officeDocument/2006/relationships/hyperlink" Target="https://pisrs.si/api/datoteke/integracije/358502566" TargetMode="External" /><Relationship Id="rId92" Type="http://schemas.openxmlformats.org/officeDocument/2006/relationships/hyperlink" Target="https://pisrs.si/api/datoteke/integracije/358502569" TargetMode="External" /><Relationship Id="rId93" Type="http://schemas.openxmlformats.org/officeDocument/2006/relationships/theme" Target="theme/theme1.xml" /><Relationship Id="rId94"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URED6659 NPB11</dc:title>
  <cp:revision>1</cp:revision>
</cp:coreProperties>
</file>