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sedmega odstavka 14. člena Zakona o gozdovih (Uradni list RS, št. 30/93, 56/99 – ZON, 67/02, 110/02 – ZGO-1, 115/06 – ORZG40, 110/07, 106/10, 63/13, 101/13 – ZDavNepr, 17/14, 22/14 – odl. US, 24/15, 9/16 – ZGGLRS, 77/16 in 78/23 – ZUNPEOVE) ministrica za kmetijstvo, gozdarstvo in prehrano izdaja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gozdnogospodarskem načrtu gozdnogospodarske enote Vače (2023–2032)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pravilnikom se sprejme gozdnogospodarski načrt gozdnogospodarske enote Vače (2023–2032) št. 04-45/2023 z dne 17. januarja 2024, ki ga je za obdobje od 1. januarja 2023do 31. decembra 2032 izdelal Zavod za gozdove Slovenije, Območna enota Ljubljana.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Gozdnogospodarska enota Vače, ki meri 4 635,16 ha, se nahaja v gozdnogospodarskem območju Ljubljana, v občini Litija, v katastrskih občinah Vače, Sava pri Litiji, Konj, Hotič in Ribče.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gozdnogospodarski enoti Vače je 1. januarja 2023 ugotovljeno naslednje stanje gozdov: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lastništvo: 83,1 % zasebnih gozdov v lasti fizičnih ali pravnih oseb, 16,5 % državnih gozdov in 0,4 % gozdov lokalnih skupnosti;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površina: 2 837,18 ha, od katere je 2 641,73 ha večnamenskih ter 195,45 ha varovalnih gozdov;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lesna zaloga: 342,2 m </w:t>
      </w:r>
      <w:r>
        <w:rPr>
          <w:rFonts w:ascii="Arial" w:eastAsia="Arial" w:hAnsi="Arial" w:cs="Arial"/>
          <w:sz w:val="26"/>
          <w:szCs w:val="26"/>
          <w:vertAlign w:val="superscript"/>
        </w:rPr>
        <w:t>3</w:t>
      </w:r>
      <w:r>
        <w:rPr>
          <w:rFonts w:ascii="Arial" w:eastAsia="Arial" w:hAnsi="Arial" w:cs="Arial"/>
          <w:sz w:val="21"/>
          <w:szCs w:val="21"/>
        </w:rPr>
        <w:t xml:space="preserve">/ha, od tega 113,0 m </w:t>
      </w:r>
      <w:r>
        <w:rPr>
          <w:rFonts w:ascii="Arial" w:eastAsia="Arial" w:hAnsi="Arial" w:cs="Arial"/>
          <w:sz w:val="26"/>
          <w:szCs w:val="26"/>
          <w:vertAlign w:val="superscript"/>
        </w:rPr>
        <w:t>3</w:t>
      </w:r>
      <w:r>
        <w:rPr>
          <w:rFonts w:ascii="Arial" w:eastAsia="Arial" w:hAnsi="Arial" w:cs="Arial"/>
          <w:sz w:val="21"/>
          <w:szCs w:val="21"/>
        </w:rPr>
        <w:t xml:space="preserve">/ha iglavcev in 229,2 m </w:t>
      </w:r>
      <w:r>
        <w:rPr>
          <w:rFonts w:ascii="Arial" w:eastAsia="Arial" w:hAnsi="Arial" w:cs="Arial"/>
          <w:sz w:val="26"/>
          <w:szCs w:val="26"/>
          <w:vertAlign w:val="superscript"/>
        </w:rPr>
        <w:t>3</w:t>
      </w:r>
      <w:r>
        <w:rPr>
          <w:rFonts w:ascii="Arial" w:eastAsia="Arial" w:hAnsi="Arial" w:cs="Arial"/>
          <w:sz w:val="21"/>
          <w:szCs w:val="21"/>
        </w:rPr>
        <w:t>/ha listavcev;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tekoči letni prirastek: 7,39 m </w:t>
      </w:r>
      <w:r>
        <w:rPr>
          <w:rFonts w:ascii="Arial" w:eastAsia="Arial" w:hAnsi="Arial" w:cs="Arial"/>
          <w:sz w:val="26"/>
          <w:szCs w:val="26"/>
          <w:vertAlign w:val="superscript"/>
        </w:rPr>
        <w:t>3</w:t>
      </w:r>
      <w:r>
        <w:rPr>
          <w:rFonts w:ascii="Arial" w:eastAsia="Arial" w:hAnsi="Arial" w:cs="Arial"/>
          <w:sz w:val="21"/>
          <w:szCs w:val="21"/>
        </w:rPr>
        <w:t xml:space="preserve">/ha, od tega 2,36 m </w:t>
      </w:r>
      <w:r>
        <w:rPr>
          <w:rFonts w:ascii="Arial" w:eastAsia="Arial" w:hAnsi="Arial" w:cs="Arial"/>
          <w:sz w:val="26"/>
          <w:szCs w:val="26"/>
          <w:vertAlign w:val="superscript"/>
        </w:rPr>
        <w:t>3</w:t>
      </w:r>
      <w:r>
        <w:rPr>
          <w:rFonts w:ascii="Arial" w:eastAsia="Arial" w:hAnsi="Arial" w:cs="Arial"/>
          <w:sz w:val="21"/>
          <w:szCs w:val="21"/>
        </w:rPr>
        <w:t xml:space="preserve">/ha iglavcev in 5,02 m </w:t>
      </w:r>
      <w:r>
        <w:rPr>
          <w:rFonts w:ascii="Arial" w:eastAsia="Arial" w:hAnsi="Arial" w:cs="Arial"/>
          <w:sz w:val="26"/>
          <w:szCs w:val="26"/>
          <w:vertAlign w:val="superscript"/>
        </w:rPr>
        <w:t>3</w:t>
      </w:r>
      <w:r>
        <w:rPr>
          <w:rFonts w:ascii="Arial" w:eastAsia="Arial" w:hAnsi="Arial" w:cs="Arial"/>
          <w:sz w:val="21"/>
          <w:szCs w:val="21"/>
        </w:rPr>
        <w:t>/ha listavcev.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gozdnogospodarskem načrtu iz tega pravilnika je ob upoštevanju usmeritev iz gozdnogospodarskega načrta gozdnogospodarskega območja Ljubljana, izdelanega za obdobje od 1. januarja 2021 do 31. decembra 2030, ugotovljenega stanja gozdov, analize preteklega gospodarjenja, zakonitosti razvoja gozdov in pridobljenih spoznanj pri spremljanju razvoja gozdov v gozdnogospodarski enoti Vače določeno, da so najbolj poudarjene funkcije gozdov, ki določajo način gospodarjenja z gozdom: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proizvodne funkcije na površini 2 739 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ekološke funkcije na površini 805,02 ha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socialne funkcije na površini 354,75 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podlagi funkcij gozdov in njihovega ovrednotenja so v gozdnogospodarskem načrtu iz tega pravilnika določeni cilji gospodarjenja z gozdom in gozdnim prostorom ter usmeritve za njihovo doseganje.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ciljev in usmeritev iz drugega odstavka prejšnjega člena so določeni naslednji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najvišji možni posek v višini 273 880 m </w:t>
      </w:r>
      <w:r>
        <w:rPr>
          <w:rFonts w:ascii="Arial" w:eastAsia="Arial" w:hAnsi="Arial" w:cs="Arial"/>
          <w:sz w:val="26"/>
          <w:szCs w:val="26"/>
          <w:vertAlign w:val="superscript"/>
        </w:rPr>
        <w:t>3</w:t>
      </w:r>
      <w:r>
        <w:rPr>
          <w:rFonts w:ascii="Arial" w:eastAsia="Arial" w:hAnsi="Arial" w:cs="Arial"/>
          <w:sz w:val="21"/>
          <w:szCs w:val="21"/>
        </w:rPr>
        <w:t xml:space="preserve">, od tega 88 079 m </w:t>
      </w:r>
      <w:r>
        <w:rPr>
          <w:rFonts w:ascii="Arial" w:eastAsia="Arial" w:hAnsi="Arial" w:cs="Arial"/>
          <w:sz w:val="26"/>
          <w:szCs w:val="26"/>
          <w:vertAlign w:val="superscript"/>
        </w:rPr>
        <w:t>3</w:t>
      </w:r>
      <w:r>
        <w:rPr>
          <w:rFonts w:ascii="Arial" w:eastAsia="Arial" w:hAnsi="Arial" w:cs="Arial"/>
          <w:sz w:val="21"/>
          <w:szCs w:val="21"/>
        </w:rPr>
        <w:t xml:space="preserve">iglavcev in 185 801 m </w:t>
      </w:r>
      <w:r>
        <w:rPr>
          <w:rFonts w:ascii="Arial" w:eastAsia="Arial" w:hAnsi="Arial" w:cs="Arial"/>
          <w:sz w:val="26"/>
          <w:szCs w:val="26"/>
          <w:vertAlign w:val="superscript"/>
        </w:rPr>
        <w:t xml:space="preserve">3 </w:t>
      </w:r>
      <w:r>
        <w:rPr>
          <w:rFonts w:ascii="Arial" w:eastAsia="Arial" w:hAnsi="Arial" w:cs="Arial"/>
          <w:sz w:val="21"/>
          <w:szCs w:val="21"/>
        </w:rPr>
        <w:t>listavcev;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gojitvena dela, potrebna za ohranitev in razvoj gozdov, na dejanski površini 202,09 ha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nega mlajšega drogovnjaka na dejanski površini 35,71 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gozdnogospodarskem načrtu iz tega pravilnika so določeni ukrepi in načini njihove izvedbe tudi na ravneh rastiščnogojitvenih razredov in odsekov.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izdelavi gozdnogojitvenih načrtov za posamezne ekosisteme in njihove dele v gozdnogospodarski enoti Vače je treba upoštevati cilje, usmeritve in ukrepe, določene v gozdnogospodarskem načrtu iz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en izvod gozdnogospodarskega načrta iz tega pravilnika je na vpogled na sedežu Zavoda za gozdove Slovenije, Območna enota Ljubljana, Tržaška cesta 2, 1000 Ljubljana, na sedežu Zavoda za gozdove Slovenije, Krajevna enota Litija, Litijska cesta 20, 1270 Litija, in na Ministrstvu za kmetijstvo, gozdarstvo in prehrano, Dunajska 22, 1000 Ljubljana, kjer se hrani tudi dokumentacija v zvezi s postopkom sprejemanja gozdnogospodarskega načrta iz tega pravilnika.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007-114/2024</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17. aprila 2024</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2024-2330-0056</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Mateja Čalušić </w:t>
      </w:r>
    </w:p>
    <w:p>
      <w:pPr>
        <w:ind w:left="0" w:right="0"/>
        <w:rPr>
          <w:rFonts w:ascii="Arial" w:eastAsia="Arial" w:hAnsi="Arial" w:cs="Arial"/>
        </w:rPr>
      </w:pPr>
      <w:r>
        <w:rPr>
          <w:rFonts w:ascii="Arial" w:eastAsia="Arial" w:hAnsi="Arial" w:cs="Arial"/>
        </w:rPr>
        <w:t xml:space="preserve">ministrica  </w:t>
      </w:r>
    </w:p>
    <w:p>
      <w:pPr>
        <w:spacing w:after="0"/>
        <w:ind w:left="0" w:right="0"/>
        <w:rPr>
          <w:rFonts w:ascii="Arial" w:eastAsia="Arial" w:hAnsi="Arial" w:cs="Arial"/>
        </w:rPr>
      </w:pPr>
      <w:r>
        <w:rPr>
          <w:rFonts w:ascii="Arial" w:eastAsia="Arial" w:hAnsi="Arial" w:cs="Arial"/>
        </w:rPr>
        <w:t xml:space="preserve">za kmetijstvo, gozdarstvo in prehrano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PRAV15346 NPB0</dc:title>
  <cp:revision>1</cp:revision>
</cp:coreProperties>
</file>