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center"/>
        <w:spacing w:before="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 xml:space="preserve">ZAKON </w:t>
      </w:r>
    </w:p>
    <w:p>
      <w:pPr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SPREMEMBAH IN DOPOLNITVAH ZAKONA O STATUSNEM PREOBLIKOVANJU VZAJEMNE ZDRAVSTVENE ZAVAROVALNICE D.V.Z. (ZSPVZZ-A) 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Zakonu o statusnem preoblikovanju Vzajemne zdravstvene zavarovalnice d.v.z. (Uradni list RS, št. 131/23) se v 15. členu dodajo novi peti do deveti odstavek, ki se glasijo: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»(5) Ne glede na tretji odstavek tega člena lahko upravičenec z izjavo volje o prenosu pravice do delnic to v celoti prenese na družinskega člana. Družinski član lahko s prenesenimi delnicami razpolaga v skladu s tretjim odstavkom tega člena.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(6) Za družinskega člana upravičenca se štejejo: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 starš;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 zakonec oziroma oseba, s katero živi v dalj časa trajajoči življenjski skupnosti, ki ima po zakonu, ki ureja zakonsko zvezo in družinska razmerja, enake pravne posledice kakor zakonska zveza;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 otrok oziroma posvojenec;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 vnuk;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 pravnuk;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 brat ali sestra in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 nečak.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(7) Izjava volje o prenosu pravice do delnic iz petega odstavka tega člena mora biti dana v pisni obliki. Izjavo volje podpišeta upravičenec in prejemnik pravice do delnic. Izjava volje mora biti v delu, ki se nanaša na izjavo volje upravičenca, ki prenaša pravico do delnic, overjena ali podana in podpisana v poslovalnici Vzajemne, kjer se preveri istovetnost upravičenca z vpogledom v osebni dokument upravičenca. Izjava volje o prenosu pravice do delnic iz petega odstavka tega člena mora biti dana v pisni obliki na obrazcu, ki je priloga tega zakona.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(8) Posamezni upravičenec ali prejemnik pravice do delnic posreduje Vzajemni izjavo volje o prenosu pravice do delnic iz sedmega odstavka tega člena, če ni bila podana v poslovalnici Vzajemne. Vzajemna vodi evidenco prenosov pravic do delnic, ki so bili izvedeni v skladu s petim odstavkom tega člena in jo upošteva pri oblikovanju in vložitvi zahteve pri KDD skladno s prvim odstavkom 14. člena tega zakona. Vzajemna posreduje morebitne spremembe evidence iz prejšnjega stavka na KDD za namen vodenja evidence KDD skladno z drugim odstavkom tega člena.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(9) Evidenca, ki jo Vzajemna vodi v skladu s prejšnjim odstavkom, predstavlja podlago za izdajo delnic v korist posameznega prejemnika pravice do delnic in vpis delnic s fiduciarnega računa na posamezen račun vrednostnih papirjev prejemnika pravice do delnic.«.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 20. členu se drugi odstavek spremeni tako, da se glasi: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»(2) Od dneva uveljavitve tega zakona do uvrstitve delnic na organizirani trg je prepovedano kakršnokoli trgovanje ali prenos delnic, pravic iz delnic ali upravičenj do delnic Vzajemne, razen v primeru dedovanja ali v primerih iz petega odstavka 15. člena tega zakona. Isto velja za kakršnekoli posle, ki imajo podoben učinek, kot na primer sklepanje opcijskih ali terminskih pogodb. Vsak posel, ki je v nasprotju s tem odstavkom, je ničen.«.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caps/>
          <w:sz w:val="21"/>
          <w:szCs w:val="21"/>
        </w:rPr>
      </w:pPr>
      <w:r>
        <w:rPr>
          <w:rFonts w:ascii="Arial" w:eastAsia="Arial" w:hAnsi="Arial" w:cs="Arial"/>
          <w:caps/>
          <w:sz w:val="21"/>
          <w:szCs w:val="21"/>
        </w:rPr>
        <w:t>KONČNA DOLOČBA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3. člen </w:t>
      </w:r>
    </w:p>
    <w:p>
      <w:pPr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(začetek veljavnosti) 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zakon začne veljati naslednji dan po objavi v Uradnem listu Republike Slovenije.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Št. 500-01/25-18/22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18. junija 2025</w:t>
      </w:r>
    </w:p>
    <w:p>
      <w:pPr>
        <w:pStyle w:val="evidencnastevilk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EPA 1987-IX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Državni zbor </w:t>
      </w:r>
    </w:p>
    <w:p>
      <w:pPr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Republike Slovenije </w:t>
      </w:r>
    </w:p>
    <w:p>
      <w:pPr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mag. Urška Klakočar Zupančič </w:t>
      </w:r>
    </w:p>
    <w:p>
      <w:pPr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predsednica </w:t>
      </w:r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4" w:history="1"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Priloga</w:t>
        </w:r>
      </w:hyperlink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zamik">
    <w:name w:val="zamik"/>
    <w:basedOn w:val="Normal"/>
    <w:pPr>
      <w:ind w:firstLine="1021"/>
    </w:pPr>
  </w:style>
  <w:style w:type="paragraph" w:customStyle="1" w:styleId="evidencnastevilka">
    <w:name w:val="evidencna_stevilka"/>
    <w:basedOn w:val="Normal"/>
    <w:pPr>
      <w:jc w:val="both"/>
    </w:p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  <w:style w:type="paragraph" w:customStyle="1" w:styleId="priloga">
    <w:name w:val="priloga"/>
    <w:basedOn w:val="Normal"/>
    <w:pPr>
      <w:pBdr>
        <w:top w:val="none" w:sz="0" w:space="24" w:color="auto"/>
        <w:bottom w:val="none" w:sz="0" w:space="3" w:color="auto"/>
      </w:pBdr>
      <w:spacing w:line="2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isrs.si/api/datoteke/integracije/35881346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ZAKO9220 NPB0</dc:title>
  <cp:revision>1</cp:revision>
</cp:coreProperties>
</file>