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Opozorilo: Neuradno prečiščeno besedilo predpisa predstavlja zgolj informativni delovni pripomoček, glede katerega organ ne jamči odškodninsko ali kako drugače.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Neuradno prečiščeno besedilo Pravilnika o obrazcu informativnega izračuna dohodnine in obrazcu napovedi za odmero dohodnine obsega: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obrazcu informativnega izračuna dohodnine in obrazcu napovedi za odmero dohodnine (Uradni list RS, št. 100/13 z dne 6. 12. 2013),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spremembah Pravilnika o obrazcu informativnega izračuna dohodnine in obrazcu napovedi za odmero dohodnine (Uradni list RS, št. 92/14 z dne 19. 12. 2014),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spremembah Pravilnika o obrazcu informativnega izračuna dohodnine in obrazcu napovedi za odmero dohodnine (Uradni list RS, št. 101/15 z dne 23. 12. 2015),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spremembah Pravilnika o obrazcu informativnega izračuna dohodnine in obrazcu napovedi za odmero dohodnine (Uradni list RS, št. 195/20 z dne 23. 12. 2020),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spremembah Pravilnika o obrazcu informativnega izračuna dohodnine in obrazcu napovedi za odmero dohodnine (Uradni list RS, št. 43/22 z dne 25. 3. 2022),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spremembah Pravilnika o obrazcu informativnega izračuna dohodnine in obrazcu napovedi za odmero dohodnine (Uradni list RS, št. 166/22 z dne 30. 12. 2022),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 Pravilnik o spremembah Pravilnika o obrazcu informativnega izračuna dohodnine in obrazcu napovedi za odmero dohodnine (Uradni list RS, št. 124/23 z dne 8. 12. 2023),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Pravilnik o spremembah Pravilnika o obrazcu informativnega izračuna dohodnine in obrazcu napovedi za odmero dohodnine (Uradni list RS, št. 2/26 z dne 9. 1. 2026).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PRAVILNIK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obrazcu informativnega izračuna dohodnine in obrazcu napovedi za odmero dohodnine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(neuradno prečiščeno besedilo št. 7)</w:t>
      </w:r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Datum začetka uporabe: </w:t>
      </w:r>
      <w:r>
        <w:rPr>
          <w:rFonts w:ascii="Arial" w:eastAsia="Arial" w:hAnsi="Arial" w:cs="Arial"/>
          <w:shd w:val="clear" w:color="auto" w:fill="auto"/>
        </w:rPr>
        <w:t>10.01.2026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 tem pravilnikom se določata vsebina in oblika obrazca informativnega izračuna dohodnine in obrazca napovedi za odmero dohodnine.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Davčni organ na obrazcu informativnega izračuna dohodnine, ki je Priloga 1 tega pravilnika in njegov sestavni del, za zavezanca sestavi izračun dohodnine in mu ga vroči najpozneje do 15. junija tekočega leta za preteklo leto.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3.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(1) Zavezanci za dohodnino, ki morajo vložiti napoved za odmero dohodnine, jo vložijo na obrazcu, ki je Priloga 2 tega pravilnika in njegov sestavni del, ali na obrazcu, ki po vsebini in obliki ustreza obrazcu, ki je določen s tem pravilnikom. Obrazec napovedi je skupaj z navodili za izpolnjevanje objavljen na spletnih straneh Davčne uprave Republike Slovenije ( </w:t>
      </w:r>
      <w:hyperlink r:id="rId4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http://www.durs.gov.si/si/aktualno/</w:t>
        </w:r>
      </w:hyperlink>
      <w:r>
        <w:rPr>
          <w:rFonts w:ascii="Arial" w:eastAsia="Arial" w:hAnsi="Arial" w:cs="Arial"/>
          <w:sz w:val="21"/>
          <w:szCs w:val="21"/>
        </w:rPr>
        <w:t xml:space="preserve">), oddaja pa je možna tudi preko sistema eDavki ( </w:t>
      </w:r>
      <w:hyperlink r:id="rId5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http://eDavki.durs.si</w:t>
        </w:r>
      </w:hyperlink>
      <w:r>
        <w:rPr>
          <w:rFonts w:ascii="Arial" w:eastAsia="Arial" w:hAnsi="Arial" w:cs="Arial"/>
          <w:sz w:val="21"/>
          <w:szCs w:val="21"/>
        </w:rPr>
        <w:t>).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(2) Sestavni del obrazca napovedi za odmero dohodnine, ki jo vložijo rezidenti držav članic EU in EGP, je zahtevek za uveljavljanje davčnih olajšav, ki je Priloga 3 tega pravilnika in njegov sestavni del. Zahtevek je skupaj z navodili za izpolnjevanje objavljen na spletnih straneh Davčne uprave Republike Slovenije ( </w:t>
      </w:r>
      <w:hyperlink r:id="rId4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http://www.durs.gov.si/si/aktualno</w:t>
        </w:r>
        <w:r>
          <w:rPr>
            <w:rFonts w:ascii="Arial" w:eastAsia="Arial" w:hAnsi="Arial" w:cs="Arial"/>
            <w:b/>
            <w:bCs/>
            <w:color w:val="0000EE"/>
            <w:sz w:val="21"/>
            <w:szCs w:val="21"/>
            <w:u w:val="single" w:color="0000EE"/>
          </w:rPr>
          <w:t>/</w:t>
        </w:r>
      </w:hyperlink>
      <w:r>
        <w:rPr>
          <w:rFonts w:ascii="Arial" w:eastAsia="Arial" w:hAnsi="Arial" w:cs="Arial"/>
          <w:sz w:val="21"/>
          <w:szCs w:val="21"/>
        </w:rPr>
        <w:t>).</w:t>
      </w:r>
    </w:p>
    <w:p>
      <w:pPr>
        <w:pStyle w:val="center"/>
        <w:pBdr>
          <w:top w:val="none" w:sz="0" w:space="10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4. člen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Ta pravilnik začne veljati naslednji dan po objavi v Uradnem listu Republike Slovenije, prvič pa se uporabi za odmero dohodnine za leto 2013.</w:t>
      </w:r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6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Priloga 1: Informativni izračun dohodnine za leto _______</w:t>
        </w:r>
      </w:hyperlink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Ta priloga se prvič uporabi za odmero dohodnine za leto 2025.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7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4. člen Pravilnika o spremembah Pravilnika o obrazcu informativnega izračuna dohodnine in obrazcu napovedi za odmero dohodnine</w:t>
        </w:r>
      </w:hyperlink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8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Priloga 2: Napoved za odmero dohodnine za leto _________</w:t>
        </w:r>
      </w:hyperlink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Ta priloga se prvič uporabi za odmero dohodnine za leto 2025.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7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4. člen Pravilnika o spremembah Pravilnika o obrazcu informativnega izračuna dohodnine in obrazcu napovedi za odmero dohodnine</w:t>
        </w:r>
      </w:hyperlink>
    </w:p>
    <w:p>
      <w:pPr>
        <w:pStyle w:val="priloga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hyperlink r:id="rId9" w:history="1"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Priloga 3: EU/EGP - Zahtevek za uveljavljanje davčnih olajšav za rezidente držav članic EU/EGP</w:t>
        </w:r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br/>
        </w:r>
        <w:r>
          <w:rPr>
            <w:rFonts w:ascii="Arial" w:eastAsia="Arial" w:hAnsi="Arial" w:cs="Arial"/>
            <w:color w:val="0000EE"/>
            <w:sz w:val="21"/>
            <w:szCs w:val="21"/>
            <w:u w:val="single" w:color="0000EE"/>
          </w:rPr>
          <w:t>EU/EEA - Tax relief application for residents of an EU/EEA state</w:t>
        </w:r>
      </w:hyperlink>
    </w:p>
    <w:p>
      <w:pPr>
        <w:pStyle w:val="navezava-npb"/>
        <w:spacing w:before="220" w:after="220"/>
        <w:ind w:left="300" w:right="1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hd w:val="clear" w:color="auto" w:fill="auto"/>
        </w:rPr>
        <w:t>Opomba: </w:t>
      </w:r>
      <w:r>
        <w:rPr>
          <w:rFonts w:ascii="Arial" w:eastAsia="Arial" w:hAnsi="Arial" w:cs="Arial"/>
          <w:shd w:val="clear" w:color="auto" w:fill="auto"/>
        </w:rPr>
        <w:t>Ta priloga se prvič uporabi za odmero dohodnine za leto 2025.</w:t>
      </w:r>
      <w:r>
        <w:rPr>
          <w:rFonts w:ascii="Arial" w:eastAsia="Arial" w:hAnsi="Arial" w:cs="Arial"/>
          <w:shd w:val="clear" w:color="auto" w:fill="auto"/>
        </w:rPr>
        <w:br/>
      </w:r>
      <w:r>
        <w:rPr>
          <w:rFonts w:ascii="Arial" w:eastAsia="Arial" w:hAnsi="Arial" w:cs="Arial"/>
          <w:b/>
          <w:bCs/>
          <w:shd w:val="clear" w:color="auto" w:fill="auto"/>
        </w:rPr>
        <w:t>Sklic: </w:t>
      </w:r>
      <w:hyperlink r:id="rId7" w:anchor="clen_4" w:tgtFrame="_blank" w:history="1">
        <w:r>
          <w:rPr>
            <w:rFonts w:ascii="Arial" w:eastAsia="Arial" w:hAnsi="Arial" w:cs="Arial"/>
            <w:color w:val="0000EE"/>
            <w:u w:val="single" w:color="0000EE"/>
            <w:shd w:val="clear" w:color="auto" w:fill="auto"/>
          </w:rPr>
          <w:t>4. člen Pravilnika o spremembah Pravilnika o obrazcu informativnega izračuna dohodnine in obrazcu napovedi za odmero dohodnine</w:t>
        </w:r>
      </w:hyperlink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navezava-npb">
    <w:name w:val="navezava-npb"/>
    <w:basedOn w:val="Normal"/>
    <w:pPr>
      <w:pBdr>
        <w:top w:val="none" w:sz="0" w:space="6" w:color="auto"/>
        <w:left w:val="none" w:sz="0" w:space="6" w:color="auto"/>
        <w:bottom w:val="none" w:sz="0" w:space="6" w:color="auto"/>
        <w:right w:val="none" w:sz="0" w:space="6" w:color="auto"/>
      </w:pBdr>
      <w:shd w:val="clear" w:color="auto" w:fill="DFEDF2"/>
      <w:ind w:firstLine="0"/>
      <w:jc w:val="left"/>
    </w:pPr>
    <w:rPr>
      <w:sz w:val="22"/>
      <w:szCs w:val="22"/>
      <w:shd w:val="clear" w:color="auto" w:fill="DFEDF2"/>
    </w:rPr>
  </w:style>
  <w:style w:type="paragraph" w:customStyle="1" w:styleId="priloga">
    <w:name w:val="priloga"/>
    <w:basedOn w:val="Normal"/>
    <w:pPr>
      <w:pBdr>
        <w:top w:val="none" w:sz="0" w:space="24" w:color="auto"/>
        <w:bottom w:val="none" w:sz="0" w:space="3" w:color="auto"/>
      </w:pBdr>
      <w:spacing w:line="200" w:lineRule="atLeas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durs.gov.si/si/aktualno/" TargetMode="External" /><Relationship Id="rId5" Type="http://schemas.openxmlformats.org/officeDocument/2006/relationships/hyperlink" Target="http://edavki.durs.si/" TargetMode="External" /><Relationship Id="rId6" Type="http://schemas.openxmlformats.org/officeDocument/2006/relationships/hyperlink" Target="https://pisrs.si/api/datoteke/integracije/438048441" TargetMode="External" /><Relationship Id="rId7" Type="http://schemas.openxmlformats.org/officeDocument/2006/relationships/hyperlink" Target="https://pisrs.si/pregledPredpisa?id=PRAV16002" TargetMode="External" /><Relationship Id="rId8" Type="http://schemas.openxmlformats.org/officeDocument/2006/relationships/hyperlink" Target="https://pisrs.si/api/datoteke/integracije/438048435" TargetMode="External" /><Relationship Id="rId9" Type="http://schemas.openxmlformats.org/officeDocument/2006/relationships/hyperlink" Target="https://pisrs.si/api/datoteke/integracije/43804843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PRAV11753 NPB7</dc:title>
  <cp:revision>1</cp:revision>
</cp:coreProperties>
</file>