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lang w:val="sl" w:eastAsia="sl"/>
        </w:rPr>
        <w:t>Opozorilo: Neuradno prečiščeno besedilo pravnega akta predstavlja zgolj informativni delovni pripomoček, glede katerega lokalna skupnost ne jamči odškodninsko ali kako drugače.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Neuradno prečiščeno besedilo</w:t>
      </w:r>
      <w:r>
        <w:rPr>
          <w:rFonts w:ascii="Arial" w:eastAsia="Arial" w:hAnsi="Arial" w:cs="Arial"/>
          <w:sz w:val="21"/>
          <w:szCs w:val="21"/>
        </w:rPr>
        <w:t xml:space="preserve"> </w:t>
      </w:r>
      <w:r>
        <w:rPr>
          <w:rFonts w:ascii="Arial" w:eastAsia="Arial" w:hAnsi="Arial" w:cs="Arial"/>
          <w:sz w:val="21"/>
          <w:szCs w:val="21"/>
          <w:lang w:val="sl" w:eastAsia="sl"/>
        </w:rPr>
        <w:t>Odloka o sprejetju ureditvenega načrta K-9 Šole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Odlok o sprejetju ureditvenega načrta K-9 Šole (Uradni list SRS, št. 21/89 z dne 9. 6. 1989),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Odlok o spremembah in dopolnitvah Odloka o sprejetju ureditvenega načrta K-9 Šole (Uradni list RS, št. 27/10 z dne 2. 4. 2010),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Odlok o spremembah in dopolnitvah Odloka o sprejetju ureditvenega načrta K-9 Šole (Uradni list RS, št. 31/12 z dne 30. 4. 2012),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Odlok o spremembah in dopolnitvah Odloka o sprejetju ureditvenega načrta K-9 Šole (Uradni list RS, št. 97/15 z dne 11. 12. 2015).</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lang w:val="sl" w:eastAsia="sl"/>
        </w:rPr>
        <w:t>ODLOK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lang w:val="sl" w:eastAsia="sl"/>
        </w:rPr>
        <w:t>o sprejetju ureditvenega načrta K-9 Šole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color w:val="000000"/>
          <w:sz w:val="21"/>
          <w:szCs w:val="21"/>
          <w:lang w:val="sl" w:eastAsia="sl"/>
        </w:rPr>
        <w:t>(neuradno prečiščeno besedilo št. 3)</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I. UVODNE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Sprejme se ureditveni načrt K-9 Šole, ki ga je izdelal Urbanistični zavod Projektivni atelje Ljubljana pod št. 3331 v novembru 1988 in na osnovi javne razgrnitve in obravnave dopolnil v aprilu 1989.</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1.a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(sestavni deli sprememb in dopolnitev UN)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A.    BESEDILO ODLOKA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B.    GRAFIČNI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1.    Izsek iz dolgoročnega družbenega plana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1.1   Dolgoročni plan (izsek)                                                                                            M 1:5000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2.    Prikaz lege prostorske ureditve na širšem območju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2.1   Vplivi in povezave s sosednjimi območji                                                                  M 1:5000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3.    Načrt območja z načrtom parcelacije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3.1   Katastrski načrt s prikazom območja UN                                                                  M 1:1000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3.2   Geodetski načrt s prikazom območja UN                                                                  M 1:500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3.3   Načrt obodne parcelacije na katastrskem načrtu                                                       M 1:1000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4.    Načrt arhitekturnih, krajinskih in oblikovalskih rešitev prostorskih ureditev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4.1   Zazidalna situacija s prikazom zelenih površin                                                          M 1:500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4.2   Značilni prerezi                                                                                                       M 1:500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4.3   Prikaz prometne ureditve in idejne višinske regulacije                                                M 1:500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4.4   Prikaz komunalnih vodov in naprav                                                                          M 1:500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4.5   Prikaz odstranitve objektov                                                                                      M 1:1000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5.    Prikaz ureditev za varovanje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5.1   Prikaz ureditev, potrebnih za obrambo ter varstvo pred naravnimi in drugimi nesrečami, vključno z varstvom pred požarom                                                                                             M 1:1000</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1.b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 xml:space="preserve">(priloge sprememb in dopolnitev UN) </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Priloge sprememb in dopolnitev UN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1.    Izvleček iz dolgoročnega plana Občine Kamnik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2.    Prikaz stanja v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3.    Strokovne podlage in posebni elaborati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4.    Smernice in mnenja nosilcev urejanja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5.    Obrazložitev in utemeljitev sprememb in dopolnitev UN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6.    Povzetek za javnost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I. MEJA IN OBSEG OBMOČJA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2.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1.    Potek meje območja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 JZ poteka meja po Kovinarski cesti s parcelno št. 1471/1, nato pa po notranjem robu Ljubljanske ceste parc. št. 1411/ do križišča s povezovalno cesto. Tu se meja nadaljuje po notranjem robu povezovalne ceste do Kamniške Bistrice, kjer se obrne v smeri njenega toka in sicer poteka po njenem levem bregu v dolžini 310 m. Nato prečka reko in nadaljuje potek nazaj po meji parc. št. 289, ki je last DO Eta. Nadaljuje se po meji omenjene organizacije parc. št. 287/1 vse do Kajuhove poti. Vključi širino Kajuhove poti s parc. št. 1443/1 ter pas parcel v širini 2 m na Z strani s parc. št. 300, 304/6, 306 in 295/2. Tu se sklene na Kovinarski cesti.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Skupna površina ureditvenega območja znaša 7,98 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 xml:space="preserve">2.    Obseg sprememb in dopolnitev UN  </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Območje sprememb in dopolnitev UN obsega zemljišča z naslednjimi parcelnimi številkami: 175/22, 175/23, 176/2, 176/6, 176/7, 176/8, del 176/11, 176/13, 176/14, 177, 178, 284/1, 284/3, 284/8, 284/9, 284/10, 284/11, 285, 286/1, 287/2, 298/1, 311/3, 311/4, 311/5, 311/11, del 311/13, 311/17, 311/19, 311/22, 311/23, 311/24, del 311/25, 312/1, 312/2, 1442/1, del 1442/2, del 1442/3, del 1443/1, 1443/2, 1502/1, 1502/8, 1502/16, 1502/17, 1502/18 in 1504/7.</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Površina območja sprememb in dopolnitev UN je 43.440 m2.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 xml:space="preserve">3.    Meja sprememb in dopolnitev UN </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Meja območja sprememb in dopolnitev UN poteka po zemljiščih katastrske občine Kamnik: iz severne točke zemljišča parc. št. 1443/2 po severovzhodnem robu zemljišča. Ob stiku z zemljiščem parc. št. 311/25 zavije proti severovzhodu in se nadaljuje po parcelni meji istega zemljišča in zemljišča parc. št. 1502/1. Ob stiku z zemljiščem parc. št. 270/5 zavije proti južnemu robu istega zemljišča. Meja se nato obrne proti severovzhodu in se nadaljuje po robu zemljišč parc. št. 270/5, 270/7, 270/8, 270/9, 270/10, 270/11, 270/12, 271/13, 270/14, 270/15. V severni točki zemljišča parc. št. 1502/16 se obrne proti jugovzhodu in poteka dalje po severnem robu zemljišč parc. št. 284/1, 176/2, 1442/3, 176/2, prečka parc. št. 176/11 in se v isti liniji nadaljuje po severnem robu zemljišč parc. št. 175/22 in 175/23. Meja se ob stiku z zemljiščem parc. št. 1504/43 obrne proti jugu in se nadaljuje po vzhodnem robu zemljišča parc. št. 176/23, 176/14, 176/8, 176/7 in 1504/7. Meja se nato obrne proti jugu, prečka zemljišče parc. št. 1442/2 do zemljišča parc. št. 290, kjer se nadaljuje po severovzhodnem robu parc. št. 290, 291. V severni točki zemljišča parc. št. 291 se meja obrne proti jugozahodu in se nadaljuje po jugovzhodnem robu in južnem robu zemljišč parc. št. 287/2, 286/1, 298/1, 1502/8, po severnem robu zemljišča parc. št. 304/9. Meja se obrne proti jugu in se po 24,3 m obrne za 90˚ v smeri proti zahodu. Prečka zemljišča parc. št. 1443/1, 311/25, 311/13. Na zahodnem robu parc. št. 311/13 se obrne proti severu in se nadaljuje po zahodnem robu zemljišč parc. št. 311/13, 311/4, 311/3 in se zaključi v izhodiščni točki.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4.    Grafični prikaz območja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Obseg in meja območja sprememb in dopolnitev UN je razvidna iz grafičnega načrta št. 3.1. Katastrski načrt s prikazom območja UN, št. 3.2. Geodetski načrt s prikazom območja UN in št. 3.3. Načrt obodne parcelacije in parcelacije zemljišč na katastrskem načrtu.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 xml:space="preserve">2.a člen </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(vplivi in povezave s sosednjimi enotami urejanja prostora)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Območje sprememb in dopolnitev UN K-9 Šole je prostor, ki je na severozahodni strani omejen z robom starega mestnega jedra (K-2 Šutna), na severu s Šolsko ulico (K-8), na vzhodu z reko Kamniško Bistrico, na jugovzhodu z obstoječimi stanovanjskimi objekti, na jugu z industrijskim območjem tovarne Eta (K-10 Svilanit – Eta) ter na zahodu z Ljubljansko cesto.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Območje se na severni strani navezuje na ureditev podhoda pod Šolsko ulico, ki povezuje peš poti na obeh straneh ulice. V sklopu te ureditve je tudi ureditev avtobusnih postajališč na obeh straneh ceste.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 severni in južni strani je območje povezano z ureditvami parkirnih površin okoli objektov izven območja preko skupnih manipulacijskih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Komunalna ureditev je povezana s sosednjimi območji, na katere se navezuje kanalizacijsko, vodovodno, elektro in telekomunikacijsko omrežje, vročevodno in plinovodno omrežje.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II. FUNKCIJE OBMOČJA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Celotno ureditveno območje je namenjeno: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šolski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kulturni in družbeni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trgovski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stanovanjski dejavnosti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3.a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(dopustni posegi znotraj območja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 območju sprememb in dopolnitev UN so dopustni naslednji posegi: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priprava stavbnega zemljišča,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odstranitve objektov in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redna in investicijska vzdrževalna dela in rekonstrukcije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sprememba namembnosti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novih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prizidave in nadzidave,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prometne, komunalne, energetske in druge javne gospodarske infrastrukture,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urejanje utrjenih in zelenih zunanjih površin.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3.b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(namembnost znotraj območja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Površine v območju so po dolgoročnem planu Občine Kamnik namenjene za družbene dejavnosti, za parkovne in rekreacijske površine.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Objekti v območju sprememb in dopolnitev UN so namenjeni kulturi, izobraževanju in športnim dejavnostim.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Dopustne so naslednje namembnosti:</w:t>
      </w:r>
    </w:p>
    <w:tbl>
      <w:tblPr>
        <w:tblStyle w:val="MsoNormalTable"/>
        <w:tblInd w:w="113" w:type="dxa"/>
        <w:tblCellMar>
          <w:top w:w="0" w:type="dxa"/>
          <w:left w:w="0" w:type="dxa"/>
          <w:bottom w:w="0" w:type="dxa"/>
          <w:right w:w="0" w:type="dxa"/>
        </w:tblCellMar>
        <w:tblLook w:val="05E0"/>
      </w:tblPr>
      <w:tblGrid>
        <w:gridCol w:w="2365"/>
        <w:gridCol w:w="3856"/>
        <w:gridCol w:w="3027"/>
      </w:tblGrid>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121 Gostinske stavbe</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1211 Hotelske in podobne stavbe</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12112</w:t>
            </w:r>
          </w:p>
        </w:tc>
        <w:tc>
          <w:tcPr>
            <w:tcW w:w="4237"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Gostilne, restavracije in točilnice</w:t>
            </w:r>
          </w:p>
        </w:tc>
        <w:tc>
          <w:tcPr>
            <w:tcW w:w="329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122 Poslovne in upravne stavbe</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1220 Poslovne in upravne stavbe</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12201</w:t>
            </w:r>
          </w:p>
        </w:tc>
        <w:tc>
          <w:tcPr>
            <w:tcW w:w="4237"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Stavbe javne uprave</w:t>
            </w:r>
          </w:p>
        </w:tc>
        <w:tc>
          <w:tcPr>
            <w:tcW w:w="329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12202</w:t>
            </w:r>
          </w:p>
        </w:tc>
        <w:tc>
          <w:tcPr>
            <w:tcW w:w="4237"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Stavbe bank, pošt, zavarovalnic</w:t>
            </w:r>
          </w:p>
        </w:tc>
        <w:tc>
          <w:tcPr>
            <w:tcW w:w="329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12203</w:t>
            </w:r>
          </w:p>
        </w:tc>
        <w:tc>
          <w:tcPr>
            <w:tcW w:w="4237"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Druge poslovne stavbe</w:t>
            </w:r>
          </w:p>
        </w:tc>
        <w:tc>
          <w:tcPr>
            <w:tcW w:w="329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xml:space="preserve">123 Trgovske stavbe in stavbe za storitvene dejavnosti </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1230 Trgovske stavbe in stavbe za storitvene dejavnosti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12301</w:t>
            </w:r>
          </w:p>
        </w:tc>
        <w:tc>
          <w:tcPr>
            <w:tcW w:w="4237"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Trgovske stavbe</w:t>
            </w:r>
          </w:p>
        </w:tc>
        <w:tc>
          <w:tcPr>
            <w:tcW w:w="329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12304</w:t>
            </w:r>
          </w:p>
        </w:tc>
        <w:tc>
          <w:tcPr>
            <w:tcW w:w="4237"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Stavbe za druge storitvene dejavnosti</w:t>
            </w:r>
          </w:p>
        </w:tc>
        <w:tc>
          <w:tcPr>
            <w:tcW w:w="329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xml:space="preserve">124 Stavbe za promet in stavbe za izvajanje komunikacij </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1242 Garažne stavbe</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12420</w:t>
            </w:r>
          </w:p>
        </w:tc>
        <w:tc>
          <w:tcPr>
            <w:tcW w:w="4237"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Garažne stavbe</w:t>
            </w:r>
          </w:p>
        </w:tc>
        <w:tc>
          <w:tcPr>
            <w:tcW w:w="329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125 Industrijske stavbe in skladišča</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1252 Rezervoarji, silosi in skladišča</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12520</w:t>
            </w:r>
          </w:p>
        </w:tc>
        <w:tc>
          <w:tcPr>
            <w:tcW w:w="4237"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Rezervoarji, silosi in skladišča</w:t>
            </w:r>
          </w:p>
        </w:tc>
        <w:tc>
          <w:tcPr>
            <w:tcW w:w="329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126 Stavbe splošnega družbenega pomena</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1261 Stavbe za kulturo in razvedrilo</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12610</w:t>
            </w:r>
          </w:p>
        </w:tc>
        <w:tc>
          <w:tcPr>
            <w:tcW w:w="4237"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Stavbe za kulturo in razvedrilo</w:t>
            </w:r>
          </w:p>
        </w:tc>
        <w:tc>
          <w:tcPr>
            <w:tcW w:w="329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1262 Muzeji in knjižnice</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12620</w:t>
            </w:r>
          </w:p>
        </w:tc>
        <w:tc>
          <w:tcPr>
            <w:tcW w:w="4237"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Muzeji in knjižnice</w:t>
            </w:r>
          </w:p>
        </w:tc>
        <w:tc>
          <w:tcPr>
            <w:tcW w:w="329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1263 Stavbe za izobraževanje in znanstvenoraziskovalno delo</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12630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Stavbe za izobraževanje in znanstvenoraziskovalno delo</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1264 Stavbe za zdravstveno oskrbo</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12640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Stavbe za zdravstveno oskrbo</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1265 Stavbe za šport</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12650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Stavbe za šport</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127 Druge nestanovanjske stavbe</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1273 Kulturna dediščina, ki se ne uporablja v druge namene</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12730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Kulturna dediščina, ki se ne uporablja v druge namene</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xml:space="preserve">1274 Druge stavbe, ki niso uvrščene drugje </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 xml:space="preserve">12740 </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Druge stavbe, ki niso uvrščene drugje</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211 Ceste</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2112 Lokalne ceste in javne poti, nekategorizirane ceste in gozdne ceste</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21120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Lokalne ceste in javne poti, nekategorizirane ceste in gozdne ceste</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214 Mostovi, viadukti, predori in podhodi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2141 Mostovi in viadukti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21410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Mostovi in viadukti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2142 Predori in podhodi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21421</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Predori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21422</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Podhodi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215 Pristanišča, plovni kanali, jezovi in vodne pregrade ter drugi vodni objekti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2152 Jezovi, vodne pregrade in drugi vodni objekti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21520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Jezovi, vodne pregrade in drugi vodni objekti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221 Daljinski cevovodi, daljinska (hrbtenična) komunikacijska omrežja in daljinski (prenosni) elektroenergetski vodi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2211 Naftovodi in daljinski (prenosni) plinovodi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22110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Naftovodi in daljinski (prenosni) plinovodi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2212 Daljinski vodovodi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22121</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Daljinski vodovodi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22122</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Objekti za črpanje, filtriranje in zajem vode</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2213 Daljinska (hrbtenična) komunikacijska omrežja</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22130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Daljinska (hrbtenična) komunikacijska omrežja</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2214 Daljinski (prenosni) elektroenergetski vodi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 xml:space="preserve">22140 </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Daljinski (prenosni) elektroenergetski vodi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222 Lokalni cevovodi, lokalni (distribucijski) elektroenergetski vodi in lokalna (dostopovna) komunikacijska</w:t>
            </w:r>
            <w:r>
              <w:rPr>
                <w:rFonts w:ascii="Arial" w:eastAsia="Arial" w:hAnsi="Arial" w:cs="Arial"/>
                <w:b w:val="0"/>
                <w:bCs w:val="0"/>
                <w:i w:val="0"/>
                <w:iCs w:val="0"/>
                <w:smallCaps w:val="0"/>
                <w:color w:val="000000"/>
                <w:lang w:val="sl" w:eastAsia="sl"/>
              </w:rPr>
              <w:t xml:space="preserve"> omrežja</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2221 Lokalni (distribucijski) plinovodi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22210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Lokalni (distribucijski) plinovodi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2222 Lokalni vodovodi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22221</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Lokalni vodovodi za pitno in tehnološko vodo</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22222</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Lokalni cevovodi za toplo vodo, paro in stisnjen zrak</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22223</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Vodni stolpi, vodnjaki in hidranti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2223 Cevovodi za odpadno vodo</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22231</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Cevovodi za odpadno vodo</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22232</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Čistilne naprave</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2224 Lokalni (distribucijski) elektroenergetski vodi in lokalna (dostopovna) komunikacijska omrežja</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22240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Lokalni (distribucijski) elektroenergetski vodi in lokalna (dostopovna) komunikacijska omrežja</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230 Industrijski gradbeni kompleksi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2302 Elektrarne in drugi energetski objekti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23020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Elektrarne in drugi energetski objekti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241 Objekti za šport, rekreacijo in prosti čas</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2411 Športna igrišča</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24110</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Športna igrišča</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2412 Drugi gradbeni inženirski objekti za šport,rekreacijo in prosti čas</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24122</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Drugi gradbeni inženirski objekti za šport,rekreacijo in prosti čas</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242 Drugi gradbeni inženirski objekti</w:t>
            </w:r>
          </w:p>
        </w:tc>
      </w:tr>
      <w:tr>
        <w:tblPrEx>
          <w:tblInd w:w="113" w:type="dxa"/>
          <w:tblCellMar>
            <w:top w:w="0" w:type="dxa"/>
            <w:left w:w="0" w:type="dxa"/>
            <w:bottom w:w="0" w:type="dxa"/>
            <w:right w:w="0" w:type="dxa"/>
          </w:tblCellMar>
          <w:tblLook w:val="05E0"/>
        </w:tblPrEx>
        <w:tc>
          <w:tcPr>
            <w:tcW w:w="9514" w:type="dxa"/>
            <w:gridSpan w:val="3"/>
            <w:noWrap w:val="0"/>
            <w:tcMar>
              <w:top w:w="0" w:type="dxa"/>
              <w:left w:w="113" w:type="dxa"/>
              <w:bottom w:w="0" w:type="dxa"/>
              <w:right w:w="113" w:type="dxa"/>
            </w:tcMar>
            <w:vAlign w:val="top"/>
            <w:hideMark/>
          </w:tcPr>
          <w:p>
            <w:pPr>
              <w:pStyle w:val="p"/>
              <w:ind w:left="708"/>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2420 Drugi gradbeni inženirski objekti</w:t>
            </w:r>
          </w:p>
        </w:tc>
      </w:tr>
      <w:tr>
        <w:tblPrEx>
          <w:tblInd w:w="113" w:type="dxa"/>
          <w:tblCellMar>
            <w:top w:w="0" w:type="dxa"/>
            <w:left w:w="0" w:type="dxa"/>
            <w:bottom w:w="0" w:type="dxa"/>
            <w:right w:w="0" w:type="dxa"/>
          </w:tblCellMar>
          <w:tblLook w:val="05E0"/>
        </w:tblPrEx>
        <w:tc>
          <w:tcPr>
            <w:tcW w:w="2435" w:type="dxa"/>
            <w:noWrap w:val="0"/>
            <w:tcMar>
              <w:top w:w="0" w:type="dxa"/>
              <w:left w:w="113" w:type="dxa"/>
              <w:bottom w:w="0" w:type="dxa"/>
              <w:right w:w="113" w:type="dxa"/>
            </w:tcMar>
            <w:vAlign w:val="top"/>
            <w:hideMark/>
          </w:tcPr>
          <w:p>
            <w:pPr>
              <w:pStyle w:val="p"/>
              <w:spacing w:after="0"/>
              <w:ind w:hanging="360"/>
              <w:jc w:val="righ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0"/>
                <w:szCs w:val="20"/>
                <w:lang w:val="sl" w:eastAsia="sl"/>
              </w:rPr>
              <w:t>-</w:t>
            </w:r>
            <w:r>
              <w:rPr>
                <w:b w:val="0"/>
                <w:bCs w:val="0"/>
                <w:i w:val="0"/>
                <w:iCs w:val="0"/>
                <w:smallCaps w:val="0"/>
                <w:color w:val="000000"/>
                <w:sz w:val="14"/>
                <w:szCs w:val="14"/>
                <w:lang w:val="sl" w:eastAsia="sl"/>
              </w:rPr>
              <w:t xml:space="preserve">       </w:t>
            </w:r>
            <w:r>
              <w:rPr>
                <w:rFonts w:ascii="Arial" w:eastAsia="Arial" w:hAnsi="Arial" w:cs="Arial"/>
                <w:b w:val="0"/>
                <w:bCs w:val="0"/>
                <w:i w:val="0"/>
                <w:iCs w:val="0"/>
                <w:smallCaps w:val="0"/>
                <w:color w:val="000000"/>
                <w:sz w:val="20"/>
                <w:szCs w:val="20"/>
                <w:lang w:val="sl" w:eastAsia="sl"/>
              </w:rPr>
              <w:t>24205</w:t>
            </w:r>
          </w:p>
        </w:tc>
        <w:tc>
          <w:tcPr>
            <w:tcW w:w="7305" w:type="dxa"/>
            <w:gridSpan w:val="2"/>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lang w:val="sl" w:eastAsia="sl"/>
              </w:rPr>
              <w:t xml:space="preserve">Drugi gradbeni inženirski objekti, ki niso uvrščeni drugje </w:t>
            </w:r>
          </w:p>
        </w:tc>
      </w:tr>
    </w:tbl>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Območje sprememb in dopolnitev UN je sestavljeno iz dveh programsko različnih delov. Vzhodni in zahodni del območja sta pretežno namenjena šolskim in spremljajočim programom (OŠ Frana Albrehta, OŠ Toma Brejca in večnamenski objekt), osrednji del pa je namenjen športnim in parkovnim zunanjim površinam. Vzhodni in zahodni del sta med seboj povezana s peš in kolesarskimi potmi.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Večnamenski objekt (v nadaljevanju: »objekt A«) in transformatorska postaja na jugozahodni strani območja se ohranita. V večnamenskem objektu so programi Glasbene šole, Centralne knjižnice Kamnik, Zavoda za zdravstveno zavarovanje, Centra za socialno delo, Rdečega križa ter ostali programi.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Predvidena je ureditev zunanjih površin – manipulacijskih površin, ureditev in izgradnja novih parkirišč ter izgradnja povezovalnega hodnika od objekta A do šole Toma Brejca.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Zaradi kvalitetnejšega izvajanja šolskega programa je za objekt Osnovne šole Toma Brejca (v nadaljevanju: »objekt B«) predvidena delna rušitev obstoječega šolskega objekta in dozidava osnovne šole. V sklopu objekta šole se bo dogradila tudi nova telovadnica. Predvidena je ureditev zunanjih površin za potrebe šole (dvorišče in otroško igrišče) ter ureditev parkirišča in manipulativnih površin okoli objekta.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objekt Osnovne šole Frana Albrehta (v nadaljevanju: »objekt C«) je predvidena tudi rušitev šolskih prostorov, ker le ti niso več primerni za izvajanje šolskega programa, ohrani se le športna dvorana. Predvidena je izgradnja nove osnovne šole in povezava le-te s prenovljeno športno dvorano. Predvidena je ureditev zunanjih površin za potrebe šole in športne dvorane in preureditev parkirišča na vzhodni strani šole.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 zemljišču med objektoma B in C je predvidena ureditev športnega igrišča (v nadaljevanju: »objekt D«) za potrebe športa in občasnih prireditev, ureditev večnamenske parkovne površine in otroškega igrišča.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III. POGOJI ZA URBANISTIČNO IN ARHITEKTONSKO OBLIKOVANJE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A.    Objekti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1.    Adaptacija podstrešij stanovanjskih blokov v podstrešna stanovanja.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       Naklon strehe in višina podstrešja se ne spreminjata. Osvetlitev se rešuje s strešnimi okni ali frčadami. Opravi se tudi prenova fasade bloka ob Kajuhovi poti.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2.    Prekritje garaž in prostora med garažami in Metalko s teraso, velikosti v podaljšku Metalke, garaž in vse do roba pločnika ob povezovalni cesti. Terasa se mora opremiti z ograjo in cvetličnimi koriti in povezati s terenom z zunanjimi stopnicami. Zadnja, vzhodna fasada Metalke, kjer se odpirajo stanovanja s številnimi ložami in balkoni se oblikovno poenoti.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3.    Zunanja ureditev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dostopne ceste, pločniki, kolesarske steze, peš poti, parkirne površine, platoji za smetnjake so asfaltirani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zasnova ureditve zelenih površin določa obvezno zasaditev drevja ob parkiriščih ter ureditev javnih zelenic v obliki parkovnih površin s skupinami dreves, grmovnic in klopmi za počitek. Parkovno urejene površine so nakazane v grafični prilogi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gostejša zasaditev mora biti okoli kotičkov za pouk na prostem, med industrijsko cono in šolskim kompleksom ter okoli smetnjakov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 voznih površinah in peš poteh se uredi javna razsvetljava kot je nakazano v idejnih rešitvah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 poteh, ki so označene kot urgentne se v širini 2 m ne sme zasaditi dreves in grmovnic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4.    Obstoječi objekti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       Pri obstoječih stanovanjskih in družbenih objektih je dovoljeno vzdrževanje, prenova za izboljšanje funkcionalnosti in gradnja manjših prizidkov pri stanovanjskih hišah za dvig bivalnega standarda.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4.a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(zazidalna zasnova in zasnova zunanje ureditve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Predvidena je ohranitev objekta A in transformatorske postaje na jugozahodnem robu območja. Objekt A je lociran tako, da so okoli objekta krožno speljane manipulativne površine. Dovozna pot do objekta in površin za mirujoči promet je povezana na Kajuhovo pot. Obstoječe dovozne poti in površine za mirujoči promet se preuredijo in dogradijo.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Objekt B je lociran na severozahodnem delu območja sprememb in dopolnitev. Severovzhodni del objekta se ruši, preostali del objekta se rekonstruira, adaptira in dozida. Ob osnovni šoli se zgradi telovadnico.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Severno pred šolo in športno dvorano je predvidena ureditev šolskega dvorišča s pomožnim objektom kolesarnico in servisnimi prostori ter ureditev vhoda v šolo.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 južni strani je predvidena ureditev šolskega dvorišča z vhodom v šolo, ureditev otroškega igrišča in zunanji prostor za dostavo.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Pod delom osrednjega novega šolskega objekta in delom telovadnice je predvidena klet. Zaklonišče je predvideno v telovadnici kot dvonamenski prostor.</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Predvidena je izgradnja povezovalnega hodnika – mostovža, med objektom A in novim delom objekta B.</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Ohranja se parkovni prostor in obstoječ vhod na zahodni strani.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Dovozna pot do objekta je urejena preko obstoječega desnega uvoza s Šutne po cesti mimo objekta B do površin za mirujoči promet (do parkirišča). Dovoz do objekta je možen tudi preko Kajuhove poti.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Objekt C je lociran na vzhodni strani območja. Obstoječi objekt OŠ Frana Albrehta in povezovalni hodnik se v celoti odstrani, ohrani se le športna dvorana, ki se prenovi in dogradi. Južno od športne dvorane je predviden nov objekt osnovne šole. Obstoječi športni dvorani se na zahodni strani dogradi prizidek, ki povezuje športno dvorano in osnovno šolo. V kleti južnega dela šolskega objekta je predvidena ureditev zaklonišča.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 južni, vzhodni in zahodni strani šolskega objekta je predvidena ureditev otroških igrišč in parkovna ureditev.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Glavni vhod v šolo je predviden iz zahodne strani, iz dvorišča proti športnim igriščem.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Obstoječe površine za mirujoči promet na vzhodni strani med športno dvorano in Kamniško Bistrico se preuredijo. Dovoz do parkirišča je preko rekonstruiranega desnega uvoza s Šolske ulice. Ohrani in rekonstruira se dovoz do obstoječih stanovanjskih objektov na jugovzhodu območja urejanja.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Predvidena ureditev športnih igrišč – objekt D, je locirana med objektoma osnovnih šol in je namenjena športnim igriščem s tribunami ter ureditvi parkovnih površin in otroškega igrišča. Tribune bodo urejene v sklopu zunanje ureditve okoli tekaške steze in osrednjih športnih igrišč ter bodo premoščale višinske razlike v terenu. Prostor med Šolsko ulico in športnimi igrišči je predviden za večnamensko parkovno-rekreacijsko površino, južni del območja pa je namenjen ureditvi otroškega igrišča.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Dostopi za potrebe pešcev in kolesarjev so urejeni preko dveh poti. Osrednja pot poteka v smeri sever–jug, med športnimi površinami in objektom B. Druga pot poteka po južni strani območja in se priključi osrednji poti na jugozahodni strani do parkirišča ob objektu C in se nadaljuje proti Šolski ulici.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območju sprememb in dopolnitev UN se za potrebe prehajanja pešcev v območje preuredi obstoječi podhod pod Šolsko ulico.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Zazidalna zasnova je razvidna iz grafičnih načrtov št. 4.1. »Zazidalna situacija s prikazom zelenih površin«.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4.b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(pogoji za gradnjo nezahtevnih in enostavnih objektov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V območju sprememb in dopolnitev UN je dovoljena postavitev naslednjih nezahtevnih objektov v skladu z veljavno zakonodajo: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začasni objekti, namenjeni prireditvam, npr. kiosk oziroma tipski zabojnik,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ograje,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škarpe in podporni zidovi,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pomožni infrastrukturni objekti (pločnik in kolesarska steza ob vozišču ceste, postajališče),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spominska in ostala obeležja,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enoetažne pritlične lope, namenjene shranjevanju orodja, vrtne opreme in podobno ter senčnice, največje površine do 15 m2.</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V območju sprememb in dopolnitev UN je dovoljena postavitev naslednjih enostavnih objektov v skladu z veljavno zakonodajo: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začasni objekti – oder z nadstreškom ter začasna tribuna za gledalce na prostem,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vadbeni objekti, namenjeni športu in rekreaciji na prostem, in sicer igrišče za šport in rekreacijo na prostem, kolesarska steza, sprehajalna pot in trimska steza,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urbana oprema, in sicer nadkrita čakalnica (za avtobus), javna kolesarnica z nadstreškom, javne telefonske govorilnice, skulpture in druge prostorske inštalacije, vodnjaki oziroma okrasni bazeni ter otroško igrišče.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Ostalih nezahtevnih in enostavnih objektov ni dopustno graditi oziroma postavljati. </w:t>
      </w:r>
      <w:r>
        <w:rPr>
          <w:rFonts w:ascii="Arial" w:eastAsia="Arial" w:hAnsi="Arial" w:cs="Arial"/>
          <w:b/>
          <w:bCs/>
          <w:sz w:val="21"/>
          <w:szCs w:val="21"/>
          <w:lang w:val="sl" w:eastAsia="sl"/>
        </w:rPr>
        <w:t>(črtan)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4.c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(pogoji za oblikovanje objektov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b/>
          <w:bCs/>
          <w:sz w:val="21"/>
          <w:szCs w:val="21"/>
          <w:lang w:val="sl" w:eastAsia="sl"/>
        </w:rPr>
        <w:t>Objekt 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Dovoljene so spremembe namembnosti, dozidave, nadzidave, rekonstrukcije (adaptacije, sanacije) in investicijsko vzdrževalna dela celotnega ali dela objekta. Z nadzidavo se ne sme presegati najvišje višine stavbe v ureditvenem območju. Pri nadzidavi in dozidavi objekta je potrebno upoštevati usklajen oblikovni princip, izbor materialov in barv znotraj celotnega ureditvenega območja.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b/>
          <w:bCs/>
          <w:sz w:val="21"/>
          <w:szCs w:val="21"/>
          <w:lang w:val="sl" w:eastAsia="sl"/>
        </w:rPr>
        <w:t>Objekt B</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Zasnova objekta B izhaja iz obstoječega šolskega objekta ob Šutni, ki se ohranja. Za rušitev sta predvidena ožji trakt s stopniščem in obstoječa telovadnica.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Oblikovanje volumnov in fasad: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Obstoječemu volumnu se na južni strani doda s cezuro umaknjen nov volumen šolskih prostorov ter povezovalni trakt z glavnim vhodom, ki poveže volumen nove telovadnice z učilnicami.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Arhitekturno je šola sestavljena iz treh traktov, šolske telovadnice ter povezovalnega upravnega dela. Ovoj stavbe z mostovži povezuje obstoječi šolski trakt z novim učilniškim.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 dvorišču se nahaja paviljon, kjer je predvidena kolesarnica ter servisni prostor.</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Fasada obstoječega objekta se prenovi v skladu s smernicami in soglasjem pristojnih nosilcev urejanja prostora. Lahko se predvidi toplotna izolacija in finalni omet.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Fasade novega dela objekta B se lahko toplotno izolirajo in finalno obdelajo s finalnim ometom, obešenimi fasadnimi ploščami, ki so podobne ometu ali steklenimi in alu ploščami v alu okvirjih.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Glavni vhod je na severovzhodni strani in je ločen od vhoda za I. triado, ki je predviden na južni strani objekta.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Novi del šol se z višinskim gabaritom podreja obstoječi šoli. Nad obstoječim šolskim delom se ohranja štirikapna opečnata streha. Novi učilniški trakt ter šolska telovadnica z dodatnimi učilnicami imata ravno streho.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b/>
          <w:bCs/>
          <w:sz w:val="21"/>
          <w:szCs w:val="21"/>
          <w:lang w:val="sl" w:eastAsia="sl"/>
        </w:rPr>
        <w:t>Objekt C</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Objekt C sestavljajo obstoječa športna dvorana z novo vhodno avlo in spremljajočimi prostori in nove učilniške lamele (a, b, c, 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Oblikovanje volumnov in fasad: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Pravokotne lamele a, b, c v obliki črke U tvorijo osrednji šolski atrij z dvoriščem, ki je obrnjen proti reki Kamniški Bistrici. Na severni strani se kompozicija lamel priključuje na športno dvorano, ki je na zahodni strani zaključena z lamelo 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Fasade se lahko po predhodni izvedbi toplotne izolacije finalno obdelajo s finalnim ometom ali materiali kot so pločevina, steklo, aluminij, les, keramika, beton, kompozitni materiali (vlakno cementne in lesnomelaminske plošče), ki se po ovoju stavbe menjujejo, glede na namen in specifične tehnološke zahteve.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Streha na vseh delih objekta je ravna, z minimalnim naklonom, razen na športni dvorani, kjer je streha v naklonu.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b/>
          <w:bCs/>
          <w:sz w:val="21"/>
          <w:szCs w:val="21"/>
          <w:lang w:val="sl" w:eastAsia="sl"/>
        </w:rPr>
        <w:t>Objekt 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območju objekta D je predvidena ureditev športnih igrišč, tekaške steze in tribun za spremljanje dogajanja na igriščih in prizoriščih.</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4.d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(pogoji za oblikovanje zunanjih površin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Zunanji prostor je zasnovan kot preplet tlakovanih in zelenih površin javnega ali poljavnega značaja. Možna je uporaba travnatih površin in površin iz umetnih mas.</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načrtih zunanjih ureditev je treba enotno oblikovati naslednje elemente: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klopi, korita za rože, smetnjaki ipd.,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drogovi za zastave,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stojala za kolesa (pokrita in nepokrita),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zunanja razsvetlitev.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Vse ureditve morajo omogočiti dostope funkcionalno oviranim ljudem. </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Zunanje površine okoli objekta A ostajajo namenjene pretežno krožni enosmerni poti in mirujočemu prometu. Na vzhodni strani se povečajo površine za mirujoči promet.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Ohranja se visoko vegetacijo ob Ljubljanski cesti in kjer je mogoče ob Kajuhovi poti. V največji možni meri se ohranja visoko vegetacijo ob severnem in vzhodnem robu, ki se jo dopolni z novimi zasaditvami.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Park s kamnitim mostovžem in obstoječo vegetacijo pred objektom B ob Ljubljanski cesti in Šutni se ohranja. Šolsko dvorišče pred glavnim vhodom na severu je predvideno kot tlakovana in ozelenjena površina. Tlakovan je tudi dostop do vhoda in dvorišče na južni strani ter otroško igrišče, ki je delno tlakovano in delno ozelenjeno.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jugozahodnem delu objekta je asfaltirana površina za dostavo, ki se navezuje na manipulacijsko površino okoli objekta A. Severno od objekta B je urejen širok asfaltiran dostop do šole, telovadnice in objekta D ter vzporedno z njim dovoz do parkirišč.</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 severni strani objekta C se obstoječi drevored ob Šolski ulici ohranja in dopolni z novimi zasaditvami. Osrednje dvorišče objekta C je umeščeno na vzhodno stran v atrij, ki je omejen na sever, jug in zahod, na vzhod pa se odpira proti Kamniški Bistrici. Dvorišče je urejeno s tlakovanimi površinami in travnatimi hribčki ter zamejeno z ograjo. Južno in vzhodno od lamele c je predvidena parkovna ureditev in ureditev otroških igrišč. Na zahodni strani objekta C (ob glavnem vhodu) je predvideno dvorišče kot tlakovana vstopna ploščad in parkovna ureditev.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Med objektom C in reko Kamniško Bistrico se obstoječe površine za mirujoči promet preoblikujejo v pešpot in kolesarsko stezo ob objektu in dvosmerno cesto, ki je namenjena za napajanje preoblikovanega parkirišča in za dostop do obstoječih stanovanjskih objektov na jugu.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območju objekta D so po obodu predvidene večnamenske parkovne površine, v osrednjem delu pa športna igrišča s tribunami. Dostopnost je urejena preko peš in kolesarskih poti, ki se povezane tudi s potmi okoli objekta C.</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Kvalitetna drevesa v območju se ohranijo in po potrebi sanirajo. Posamezna drevesa je možno nadomestiti z novimi. Možna je zasaditev dodatnih dreves, grmovnic in ureditev gredic. V času gradnje je drevesa potrebno zaščititi.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Zasnova zunanje ureditve je razvidna iz grafičnega načrta št. 4.1. »Zazidalna situacija s prikazom zelenih površin«.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4.e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(lokacijski pogoji in usmeritve za projektiranje in gradnjo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Tlorisni gabariti objektov, absolutne kote terena, višinski gabariti in etažnost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b/>
          <w:bCs/>
          <w:sz w:val="21"/>
          <w:szCs w:val="21"/>
          <w:lang w:val="sl" w:eastAsia="sl"/>
        </w:rPr>
        <w:t>Objekt 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tlorisni gabarit objektov, etažnost in višina venca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športna dvorana:            8,0 x 36,2 m; (K delno)+P+1;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                                       + 8,85;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povezovalni trakt:           8,8 x 17,7 m; K+P+1; + 8,85;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učilniški trakt:                  50,3 x 8,3 m; (K delno)+P+3;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                                       + 17,40;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povezovalna cezura:      55,1 x 4,7 m; K+P+1;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vhodni paviljon:              5,0 x 26,0 m; 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paviljon:                         2,8 x 4,2 m; 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višinska kota:                 +-0,00 (+373,00 m) toleranca ±1,0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b/>
          <w:bCs/>
          <w:sz w:val="21"/>
          <w:szCs w:val="21"/>
          <w:lang w:val="sl" w:eastAsia="sl"/>
        </w:rPr>
        <w:t>Objekt 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tlorisni gabarit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lamela a:                        46,5 x 17,0 m; K+P+2; +14,25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lamela b:                        21,0 x 71,4 m; K+P+2; +14,25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lamela c:                        37,0 x 18,8 m; K+P+1; +9,60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lamela d:                        9,0 x 38,8 m; K+P+2; +14,25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športna dvorana:            58,6 x 38,8 m; P+2; +14,25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višinska kota:                +–0,00 (+372,50 m) toleranca ±1,0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višina venca:                 +18,0 za tehnične prostore in naprave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b/>
          <w:bCs/>
          <w:sz w:val="21"/>
          <w:szCs w:val="21"/>
          <w:lang w:val="sl" w:eastAsia="sl"/>
        </w:rPr>
        <w:t>Objekt 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višinska kota:                  +–0,00 (+371,70 m) toleranca ±1,0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višina venca:                 +18,0 za tehnične prostore in naprave.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4.f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(odstranitve objektov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Za potrebe izgradnje komunalne in prometne infrastrukture, predvidenih objektov in zunanjih ureditev se odstrani Osnovna šola Frana Albrehta (z delnimi posegi v športno dvorano), delno objekt Osnovne šole Toma Brejca in objekt športne dvorane Osnovne šole Toma Brejca v celoti.  </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Odstranitve objektov so razvidne iz grafičnega načrta št. 4.5 »Prikaz odstranitve objektov«.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4.g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(usmeritve glede posegov na obstoječih objektih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Ohranijo se objekt A na zemljišču parcelna številka 311/11, 311/19, katastrska občina Kamnik, del objekta B na zemljišču parcelna številka 311/5, katastrska občina Kamnik, objekt športne dvorane ob objektu C na zemljišču parcelna številka 178, katastrska občina Kamnik in transformatorska postaja Zdravstveni dom na zemljišču parcelna številka 311/17, katastrska občina Kamnik. </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Dopustni posegi na objektu A so redna in investicijsko vzdrževalna dela, rekonstrukcije (adaptacije, sanacije) ter nadzidave in dozidave znotraj gradbene parcele pA, ki ne presegajo višine obstoječega objekta.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Dopustni posegi na delu objekta B, ki se ohrani, so: redna in investicijsko vzdrževalna dela ter rekonstrukcije, adaptacije in sanacije, ki ohranjajo zunanjo podobo objekta v skladu s soglasjem pristojnih nosilcev urejanja prostora.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Dopustni posegi na športni dvorani objekta C so: redna in investicijsko vzdrževalna dela ter rekonstrukcije, adaptacije, sanacije, dozidave, nadzidave in izgradnja medetaž.</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Možna je tudi rušitev in izgradnja nove športne dvorane. V tem primeru je možna tudi podkletitev novega objekta.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4.h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(načrt parcelacije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pA – parcela, namenjena obstoječemu objektu A, sega v prostorsko enoto P1 in obsega zemljišča s parcelnimi številkami: del 311/4, 311/5, 311/11, del 311/19, del 311/23, del 311/25 in del 1502/18, vse katastrska občina Kamnik. </w:t>
      </w:r>
      <w:r>
        <w:rPr>
          <w:rFonts w:ascii="Arial" w:eastAsia="Arial" w:hAnsi="Arial" w:cs="Arial"/>
          <w:b/>
          <w:bCs/>
          <w:sz w:val="21"/>
          <w:szCs w:val="21"/>
          <w:lang w:val="sl" w:eastAsia="sl"/>
        </w:rPr>
        <w:t>(črtan)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Površina pA meri 3.370 m2. </w:t>
      </w:r>
      <w:r>
        <w:rPr>
          <w:rFonts w:ascii="Arial" w:eastAsia="Arial" w:hAnsi="Arial" w:cs="Arial"/>
          <w:b/>
          <w:bCs/>
          <w:sz w:val="21"/>
          <w:szCs w:val="21"/>
          <w:lang w:val="sl" w:eastAsia="sl"/>
        </w:rPr>
        <w:t>(črtan)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pB – parcela, namenjena objektu B, sega v prostorsko enoto P2 in obsega zemljišča s parcelnimi številkami: del 284/1, del 284/3, del 311/3, del 311/4, del 311/5, del 311/22, del 312/1, del 1502/1, del 1502/17, vse katastrska občina Kamnik. </w:t>
      </w:r>
      <w:r>
        <w:rPr>
          <w:rFonts w:ascii="Arial" w:eastAsia="Arial" w:hAnsi="Arial" w:cs="Arial"/>
          <w:b/>
          <w:bCs/>
          <w:sz w:val="21"/>
          <w:szCs w:val="21"/>
          <w:lang w:val="sl" w:eastAsia="sl"/>
        </w:rPr>
        <w:t>(črtan)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Površina pB meri 6.210 m2. </w:t>
      </w:r>
      <w:r>
        <w:rPr>
          <w:rFonts w:ascii="Arial" w:eastAsia="Arial" w:hAnsi="Arial" w:cs="Arial"/>
          <w:b/>
          <w:bCs/>
          <w:sz w:val="21"/>
          <w:szCs w:val="21"/>
          <w:lang w:val="sl" w:eastAsia="sl"/>
        </w:rPr>
        <w:t>(črtan)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pC parcela, namenjena objektu C, sega v prostorsko enoto P3 in obsega zemljišča s parcelnimi številkami: del 176/1, del 176/2, del 176/6, del 177, del 178, del 284/3, del 284/8, del 285, del 286/1, del 287/2, del 1442/2, vse katastrska občina Kamnik. </w:t>
      </w:r>
      <w:r>
        <w:rPr>
          <w:rFonts w:ascii="Arial" w:eastAsia="Arial" w:hAnsi="Arial" w:cs="Arial"/>
          <w:b/>
          <w:bCs/>
          <w:sz w:val="21"/>
          <w:szCs w:val="21"/>
          <w:lang w:val="sl" w:eastAsia="sl"/>
        </w:rPr>
        <w:t>(črtan)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Površina pC meri 8.870 m2. </w:t>
      </w:r>
      <w:r>
        <w:rPr>
          <w:rFonts w:ascii="Arial" w:eastAsia="Arial" w:hAnsi="Arial" w:cs="Arial"/>
          <w:b/>
          <w:bCs/>
          <w:sz w:val="21"/>
          <w:szCs w:val="21"/>
          <w:lang w:val="sl" w:eastAsia="sl"/>
        </w:rPr>
        <w:t>(črtan)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Mejne točke parcel so opredeljene po Gauss–Kruegerjevem koordinatnem sistemu in so priloga sprememb in dopolnitev UN. </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Obodna parcelacija zemljišča je razvidna iz grafičnega načrta številka 3.3. Načrt obodne parcelacije na katastrskem načrtu.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4.i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(javne površine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Vse površine v območju sprememb in dopolnitev UN so javne.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IV. KOMUNALNA UREDITEV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5.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1.    Komunalna ureditev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A.    Splošni pogoji za komunalno in energetsko urejanje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Splošni pogoji za potek in gradnjo komunalne, energetske in telekomunikacijske infrastrukture v območju sprememb in dopolnitev UN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Novi objekti znotraj območja sprememb in dopolnitev UN morajo biti priključeni na obstoječe in predvideno komunalno in energetsko infrastrukturno omrežje, in sicer na kanalizacijsko, vodovodno in elektroenergetsko omrežje.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Objekti so lahko priključeni na vročevodno ali plinovodno omrežje ali na oba.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Priključitev se izvede po pogojih posameznih upravljavcev komunalnih vodov.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Praviloma morajo vsi sekundarni in primarni vodi potekati po javnih (prometnih in intervencijskih) površinah oziroma površinah v javni rabi tako, da je omogočeno vzdrževanje infrastrukturnih objektov in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Trase komunalnih, energetskih in telekomunikacijskih vodov, objektov in naprav morajo biti medsebojno usklajene z upoštevanjem zadostnih medsebojnih odmikov in odmikov do ostalih naravnih ali grajenih struktur.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infrastrukture mora potekati usklajeno.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Poleg s tem odlokom določenih ureditev komunalne opreme je dovoljena tudi gradnja drugih linijskih komunalnih vodov in naprav, kolikor jih je treba zgraditi zaradi potreb predmetnega območja ali sistemskih potreb infrastrukture na širšem območju pod pogojem, da dodatne ureditve ne onemogočajo izvedbe ureditev po tem odloku.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primeru, da bo izvajalec del pri izvajanju del opazil neznano komunalno, energetsko ali telekomunikacijsko infrastrukturo, mora takoj ustaviti dela ter o tem obvestiti upravljavce posameznih infrastrukturnih vodov.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Dovoljena je gradnja in ureditve naslednjih infrastrukturnih objektov: cestne ureditve, gradnja pomožnih energetskih objektov (razen tipskega zabojnika za skladiščenje jeklenk za utekočinjen naftni plin), pomožnih telekomunikacijskih objektov (razen baznih postaj), pomožnih komunalnih objektov, tipske greznice ali čistilne naprave, zbiralnice ločenih frakcij in vodnega zajetja.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Možno je prilagajanje poteka podzemne in nadzemne infrastrukturne napeljave glede na terenske zahteve pred in med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B.    Vodovodno omrežje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Predvidena je gradnja, rekonstrukcija in dograditev vodovodnega omrežja skladno s pogoji upravljavca. Izvesti je potrebno: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Obnovo javnega vodovoda LŽ 150 in PE d160 z duktilno cevjo v dolžini, kot je razvidno iz grafične priloge.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Zamenjati obstoječ priklop za glasbeno šolo z novo cevjo.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Nov priključek DN 80 za objekt B se izvede po trasi obstoječega vodovodnega priključka na severni strani objekta, mesto vstopa v objekt pa se izvede v območju šolskega dvorišča na severni strani objekta.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Nov priključek DN 80 za objekt C se izvede na vzhodni fasadi (na lameli 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Prestavitev obstoječega vodovoda PE 63, ki poteka skozi območje novega stadiona v novo projektirano kolesarsko stezo dimenzije DN 100.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Izgradnja zunanjega hidrantnega omrežja za potrebe predvidene gradnje (kolikor ni zadostne količine požarne vode, je potrebno zgraditi požarni bazen ali zagotoviti dostop k površinskim vodotokom).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Objekti morajo biti od glavnega voda oddaljeni najmanj 3.0 m, deponije z odpadnimi in škodljivimi snovmi najmanj 5.0 m, ograje in drevesa 2.0 m, oporni zidovi oziroma druge arhitektonske ovire najmanj 1.0 m. Kolikor so odmiki manjši, je potrebno pridobiti soglasje izvajalca javne službe.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C.    Kanalizacijsko omrežje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b/>
          <w:bCs/>
          <w:sz w:val="21"/>
          <w:szCs w:val="21"/>
          <w:lang w:val="sl" w:eastAsia="sl"/>
        </w:rPr>
        <w:t>Fekalna kanalizacija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območju objekta D poteka kolektor DN 800, DN 700, fekalni kanal DN 250, meteorna kanalizacija DN 700 in DN 1200 in objekt RVV ter priključki do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Objekt B in objekt C se priključujeta na obstoječe kanalizacijsko omrežje.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Objekti morajo biti od osi kanalizacije oddaljeni minimalno 3.0 m. V varstvenem pasu 5.0 m od osi kanalizacije ni dovoljeno saditi drevesnih vrst, ki razširjajo koreninski sistem v globino in širino.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območju povoznih površin se cevi polno obbetonirajo.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Predvideti je potrebno rekonstrukcijo RVV tako, da se v odtok iz njega vgradi cevno dušilko DN 400 dolžine 10.0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Obstoječi kanalizacijski sistem na območju sprememb in dopolnitev UN se mora dograditi tako, da bo zagotovljeno ločeno odvajanje komunalne in padavinske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Komunalna voda iz objektov se mora odvajati preko kolektorja v CČN Domžale - Kamnik.</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b/>
          <w:bCs/>
          <w:sz w:val="21"/>
          <w:szCs w:val="21"/>
          <w:lang w:val="sl" w:eastAsia="sl"/>
        </w:rPr>
        <w:t>Meteorna kanalizacija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Odvodnjavanje prometnih površin se uredi z odtokom vode v meteorni kanal ali ponikovalnico preko lovilca olja v skladu z veljavnimi predpisi. Meteorne vode iz strešin se odvede v ponikanje. Če ponikanje ni možno, je dovoljeno padavinske in zaledne vode speljati v vodotok v skladu z veljavnimi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D.    Plinovodno omrežje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Predvidena je gradnja, rekonstrukcija in dograditev plinovodnega omrežja skladno s pogoji upravljavca. Na območju ureditvenega načrta poteka od Kajuhove poti na jugu do Šolske ulice na severu obstoječ plinovod CF-PE225 Ø225 (p=100 mbar), na katerega se navezuje na severni strani objekta C plinovod CF1-PE160- Ø160.</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Predvideni so sledeči priključki: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priključek DN 80 za objekt 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priključek DN 80 za objekt C.</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vse novo načrtovane in rekonstruirane objekte se lahko predvidi energetsko oskrbo z zemeljskim plinom (v kombinaciji z obnovljivimi viri energije za ogrevanje).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Zaradi poteka obstoječega plinovoda na območju predvidenega športnega igrišča je predvidena prestavitev le tega v novo predvideno kolesarsko stezo in pešpot.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vse načrtovane posege na plinovodnem omrežju je potrebno predhodno uskladiti z distributerjem skladno z zakonsko predvidenimi postopki.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vsak objekt je dovoljeno namestitev ene plinske glavne požarne zaporne pipe. Lokacija odjemnih merilnih mest mora biti na javno dostopnih mestih v neposredni bližini energetskih naprav.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Merilna mesta morajo biti izvedena po zahtevah sistemskega operaterja, stalno dostopna, ne smejo biti na evakuacijskih poteh in ne smejo biti neposredno dostopna šolskim otrokom.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E.    Toplovodno omrežje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Obstoječ toplovod poteka v območju gradnje objekta C (severozahodni del prizidka telovadnice), zato ga je potrebno prestaviti. Odcep za obstoječo šolo se blindira in ukine, vod za napajanje objekta Metalka se ohrani.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 rušitvi stare šole Frana Albrehta se preveže toplovod za objekt B, ki je trenutno napajan iz stare šole Frana Albrehta na dovodno cev za staro šolo Frana Albrehta.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objekt C se izvede nov priklop na toplovod po parkirišču na vzhodni strani šporne dvorane.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F.    Elektroenergetsko omrežje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Potrebno je zagotoviti ustrezno minimalno oddaljenost elektro energetske infrastrukture do načrtovanih objektov skladno z zahtevami veljavnih tehničnih predpisov in standardov ter veljavno tipizacijo podjetja Elektro Ljubljana d.d.; kjer to ni mogoče doseči, je potrebno obstoječe vode zaščititi oziroma prestaviti.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Predvideni so sledeči priključki na distribucijsko omrežje: objekt B – 217 kW (3x315A), objekt C – 217 kW (3x315A), športna dvorana – 86 kW (3x125A). Napajanje se izvede iz obstoječe TP 20/0,4 kV Zdravstveni dom. Za ta namen bo potrebna rekonstrukcija transformatorske postaje, ki bo vključevala vgradnjo nadomestne transformacije ustrezne moči in predelavo NN stikalnega bloka za potrebe priključevanja obnovljenega NN omrežja.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Vsi predvideni zemeljski vodi se uvlečejo v kabelsko kanalizacijo.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Izvedba posameznih meritev (Pk&gt;130 kW) je možna na samem objektu (fasadna omarica), oziroma v TP na NN zbiralkah. Posamezna merilna mesta se določijo v soglasju za priključitev.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G.    Telekomunikacijsko omrežje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 obravnavanem območju se bo gradilo optično telekomunikacijsko omrežje. Pred objektom se predvidi vgradnjo dovodne TK omarice in cevno povezavo med omarico in objektom. Do TK omarice mora biti zagotovljen 24 urni dostop. Pri izgradnji cestne infrastrukture je potrebno zagotoviti koridor za TK kanalizacijo.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Obstoječe telekomunikacijske vode, ki potekajo na obravnavanem območju, je potrebno ustrezno zaščititi ali prestaviti na osnovi projektne rešitve. Pri projektni rešitvi je potrebno upoštevati izgradnjo kabelske kanalizacije do priključne točke obstoječe KK.</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Pri vseh posegih v prostor je potrebno upoštevati trase obstoječega TK omrežja in predhodno pridobiti soglasje Telekoma Slovenije d.d. k projektnim rešitvam.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 območju ureditvenega načrta potekajo zemeljski in zračni vodi kabelsko komunikacijskega sistema Kamnik. Pri projektni rešitvi je potrebno upoštevati izgradnjo kabelske kanalizacije do priključne točke obstoječe KKS.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H.    Alternativni viri energije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Dopušča se uporaba alternativnih virov za energetsko oskrbo objektov (geotermalna, sončna ipd.) v skladu s predpisi, ki urejajo to področje. Pri zasnovi novih objektov naj se upoštevajo principi za zmanjšanje porabe energije.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Možna je namestitev sončnih sprejemnikov na strešinah in južno usmerjenih fasadah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I.     Javna razsvetljava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Obstoječa javna razsvetljava se odstrani. Vse javno prometne površine morajo biti opremljene z javno razsvetljavo, tako da bo zagotovljen ob zmanjšani naravni svetlobi ali ponoči varen in pravilen potek prometa. Za napajanje razsvetljave je potrebno predvideti novo odjemno mesto. Pri načrtovanju se morajo upoštevati mejne vrednosti svetlobnega onesnaževanja, zato se morajo predvideti okolju prijazne svetilke, katerih delež svetlobnega toka, ki seva navzgor, je enak 0 %. Vsi objekti morajo imeti zunanjo razsvetljavo objekta in parkirišča internega značaja, ki mora biti v skladu z javno razsvetljavo na tem območju. Vsa instalacija v cestnem svetu mora biti v zaščitnih ceveh.«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Potek komunalne in energetske infrastrukture je razviden iz grafičnega načrta številka 4.4. »Zbirni načrt komunalnih vodov in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2.    Prometna ureditev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A.    Motorni promet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Prometna ureditev območja UN se navezuje na Kajuhovo pot ter na rekonstruirano Šolsko ulico in Šutno, ki morajo omogočiti uvoze in izvoze v območje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 južnem delu je dostop zagotovljen preko javne poti JP 660331 (Kajuhova pot), na zahodnem delu preko priključka javne poti JP660332 na lokalno cesto LC 160011 (Šutna) in na severu preko priključka javne poti JP 660333 na lokalno cesto LC 160011 (Šolska ulica).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Objekt A se iz južne smeri napaja preko Kajuhove poti. Ohranja se enosmerna ureditev prometa okrog objekta A. Obstoječe površine za mirujoči promet se dopolni.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Objekt B se iz severozahodne smeri napaja preko obstoječega priključka s Šutne po dvosmerni javni poti do površin za mirujoči promet. Vozišče javne poti se rekonstruira in se niveletno prilagodi ureditvi šolskega dvorišča. Širina vozišča je najmanj 5,0 m. Dostava, dovoz in kratkotrajno parkiranje se vrši preko Kajuhove poti.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Objekt C se iz severne smeri napaja preko dvosmerne dovozne ceste s Šolske ulice, ki se rekonstruira tako, da je širina vozišča najmanj 6,0 m. Potrebna je še razširitev vozišča Šolske ulice za pas levih zavijalcev in razširitev priključka na dovozno cesto. Priključek mora biti opremljen s semaforjem. Dvosmerni del dovozne ceste se zaključi z obračališčem, na katerega se navezuje tudi za dovozna cesta do parkirišča in dostop do dovozne ceste na jugovzhodni strani do stanovanjskih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B.    Mirujoči promet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Vse površine za mirujoči promet za potrebe programov znotraj območja sprememb in dopolnitev UN se zagotavljajo na nivoju terena.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potrebe mirujočega prometa v območju sprememb in dopolnitev UN se uredijo dodatne površine ob objektu A, tako da bo skupaj urejenih 89 PM. Uredi se tudi parkirišče ob objektu B s 34 PM in parkirišče na vzhodni strani objekta C s 76 PM.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potrebe programov znotraj območja sprememb in dopolnitev UN se zagotavlja ustrezno število parkirnih mest skladno z občinskim predpisom, ki določa minimalno število parkirnih mest.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C.    Kolesarski in peš promet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Osrednja steza za pešce in kolesarje poteka krožno od Kajuhove poti proti severu med objektom B in objektom D in se nadaljuje severno od objekta C, nato na severovzhodnem vogalu objekta C zavije proti jugu in se po južni strani zopet priključi na Kajuhovo pot. Širina steze je 3,75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Obstoječe pešpoti v parku zahodno od objekta B se rekonstruira ter prilagodi zasnovi skupne zunanje ureditve.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Glavni dostopi do objektov morajo biti urejeni tako, da so uporabni za funkcionalno ovirane osebe.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potrebe prehajanja pešcev v območje sprememb in dopolnitev UN se preuredi obstoječ podhod pod Šolsko ulico.«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Potek motornega in mirujočega prometa ter kolesarskih in peš poti je razviden iz grafičnega načrta številka 4.3 »Prikaz prometne ureditve in idejne višinske regulacije«.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V. ETAPNOST IZVAJANJA NAČRTA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(etapnost gradnje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 ureditvenim načrtom predvidena gradnja se lahko izvede etapno ob pogoju, da lahko vsaka etapa funkcionira samostojno. Predhodno je potrebno izvesti ureditev pripadajoče komunalne, energetske in telekomunikacijske ter prometne infrastrukture.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6.a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(celostno ohranjanje kulturne dediščine ter ohranjanje narave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V območju sprememb in dopolnitev UN so evidentirane enote kulturne dediščine, ki so vpisane v Register nepremične kulturne dediščine pod naslednjimi evidenčnimi številkami: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213 – Kamnik – Mestno jedro,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12024 – Kamnik – Spominska plošča Franu Albrehtu.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27778 – Kamnik – Osnovna šola Toma Brejca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12021 – Kamnik – Spominska plošča in doprsje Tomu Brejcu - Pavletu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490677 – predlog – Kamnik – Doprsni kip Frana Albrehta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vsak poseg in vsa investicijska vzdrževalna dela na evidentiranih enotah kulturne dediščine, je potrebno pridobiti soglasje pristojnega zavoda za varstvo kulturne dediščine.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čim večji meri naj se ohranja vegetacija ob Kamniški Bistrici in visoko debelna vegetacija v območju sprememb in dopolnitev UN.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6.b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(varstvo okolja in naravnih virov v območju sprememb in dopolnitev UN)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1.    Splošno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času gradnje in uporabe je treba upoštevati okoljevarstvene ukrepe za čim manjše obremenitve okolja.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vsak poseg, ki bi lahko trajno ali začasno vplival na vodni režim ali stanje voda, je potrebno v skladu s predpisi o vodah pridobiti vodno soglasje.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2.    Varstvo vode in podtalnice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Območje sprememb in dopolnitev UN se nahaja v III. območju vodovarstvenega pasu varovanja podtalnice. Za gradnje v varstvenih območjih vodnih virov je potrebno upoštevati določila veljavnih odlokov in predpisov o varovanju vodnih virov.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Podtalnica se nahaja v globinah pod +367,9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Gradnja in posegi na vodnem in priobalnem zemljišču, ki sega na vodah I. reda 15 m od vodotoka, je prepovedana, razen za izjeme, določene v predpisih o vodah.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Odvajanje padavinskih voda z utrjenih površin je potrebno urediti v skladu s predpisi, in sicer na tak način, da bo v čim večji možni meri zmanjšan odtok padavinskih voda z utrjenih površin, kar pomeni, da je potrebno predvideti ponikanje ali po možnosti zadrževanje padavinskih voda pred iztokom v kanalizacijo oziroma površinske odvodnike. Če ponikanje ni možno, kar je potrebno računsko dokazati, je možno padavinske in zaledne vode speljati v bližnji vodotok. V tem primeru morajo biti vodne količine v projektni dokumentaciji natančno določene in ovrednoten njihov vpliv. Izpustna glava kanala v vodotok mora biti oblikovana pod naklonom brežine in ne sme segati v svetli profil vodotoka. Po potrebi mora biti opremljena s povratno zaklopko. Na območju iztoka mora biti struga vodotoka ustrezno zavarovana. Detajl iztoka mora biti v projektu za pridobitev gradbenega dovoljenja tekstualno in grafično ustrezno obdelan in prikazan.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projektni dokumentaciji morajo biti predvideni in zagotovljeni vsi potrebni varnostni ukrepi in taka organizacija na gradbiščih, da bo preprečeno onesnaženje voda, ki bi nastalo zaradi transporta, skladiščenja in uporabe tekočih goriv in drugih nevarnih snovi oziroma v primeru nezgod predvideti in zagotoviti takojšnje ukrepanje za to usposobljenih delavcev. Vsa začasna skladišča in pretakališča goriv, olj in maziv ter drugih nevarnih snovi morajo biti zaščitena pred možnostjo izliva v okolje.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Investitor je dolžan poskrbeti, da se po končani gradnji odstranijo vse za potrebe gradnje postavljene provizorije in odstranijo vsi ostanki začasnih deponij. Vse z gradnjo prizadete površine je potrebno krajinsko ustrezno urediti.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3.    Varstvo zraka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Prezračevanje vseh delov objekta se izvede naravno ali prisilno, pri čemer je treba zagotoviti odvod dimnih plinov in umazanega zraka nad strehe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Zrak, ki se izpušča v ozračje, ne sme presegati mejnih količin vsebnosti snovi, določenih z zakonodajo, ki ureja področje varstva zraka.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času gradnje je potrebno preprečiti prašenje z vlaženjem sipkih materialov in nezaščitenih površin ter preprečiti raznos materiala z gradbišča.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4.    Varstvo pred hrupom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doseganje predpisanih nivojev hrupa v prostorih posameznih objektov je potrebna pasivna zaščita objektov, ki se jo dosega z ustreznim stavbnim pohištvom in fasadnimi sestavi. Prezračevanje vseh delov objekta nad nivojem terena je treba speljati tako, da ne ogroža sosednjih objektov in prezračevalne naprave opremiti z dušilci zvoka.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5.    Odstranjevanje odpadkov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Zbirno in odjemno mesto za odpadke objekta B je locirano na terenu ob jugozahodnem robu objekta ob servisnem vhodu.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Zbirno in odjemno mesto za odpadke objekta C je na zunanjem nadstrešenem dvorišču na zahodni strani, med športno dvorano in lamelo 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Zbirna in odjemna mesta za odpadke so urejena na nivoju terena. Urejenost zbirnih in odjemnih mest mora biti urejeno v skladu s predpisi. Za objekte je treba zagotoviti zadostno število posod za komunalne odpadke glede na program in potrebe.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6.c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(rešitve in ukrepi za obrambo ter varstvo pred naravnimi in drugimi nesrečami, vključno z varstvom pred požarom v območju sprememb in dopolnitev UN)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 xml:space="preserve">1.    Varstvo pred požarom </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zaščito pred požarom je treba zagotoviti: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pogoje za varen umik ljudi, živali in premoženja,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odmike med objekti oziroma ustrezno požarno ločitev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dostope, dovoze in delovne površine za delovanje intervencijskih vozil v skladu s standardom SIST DIN 14090,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vire za zadostno oskrbo z vodo za gašenje.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času gradnje je treba zagotoviti dostop in delovne površine za intervencijska vozila in gasilce. Za potrebe zagotavljanja varstva pred požarom je potrebno dograditi mrežo intervencijskih poti in hidrantnega omrežja.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fazi izdelave projektne dokumentacije je treba izdelati študijo požarne varnosti in pridobiti požarno soglasje k projektnim rešitvam.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2.    Varstvo pred potresom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Predvideni objekti morajo biti načrtovani potresno varno in morajo biti projektirani v skladu s predpisi s področja varstva pred naravnimi in drugimi nesrečami ter graditve zaklonišč.</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Predvideni objekti morajo biti načrtovani potresno varno glede na stopnjo potresne ogroženosti območja 8 in projektnega pospeška 0,225 g.</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potrebe objektov B in C je treba zgraditi dvonamenska zaklonišča. V vseh novih objektih je potrebna ojačitev prve plošče.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3.    Možnost izlitja nevarnih snovi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Parkirne površine morajo biti opremljene s kanaletami, peskolovi in lovilci olj, ki preprečujejo morebitno razlitje nevarnih snovi v podtalnico.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4.    Intervencijske poti in površine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Do novih objektov je treba predvideti dostope in površine za delovanje intervencijskih vozil v skladu s standardom SIST DIN 14090.</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Dovozne poti za gasilska vozila so po SIST DIN 14090 definirane kot utrjene površine v višini terena, ki so neposredno povezane z javnimi prometnimi površinami. Omogočajo dostop do postavitvenih in delovnih površin za gasilska vozila.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Dostopi na območje obravnavanih objektov so predvideni preko javnih cest, ki omejujejo gradbeno parcelo ter preko internih povoznih površin znotraj območja. V sklopu urejenih intervencijskih površin so predvidene krožne dovozne poti za dostop do delovnih in postavitvenih površin. Širine ravnih delov dovoznih poti so projektirane na širino najmanj 3,0 m, krožnih pa na širino, ki skladno z določili SIST DIN 14090 ustreza danemu zunanjemu premeru posamezne poti (rajdni krogi).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Dovozne poti za gasilska vozila povezujejo postavitvene in delovne površine z javno cesto;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Širina ravnega dela dovozne poti mora biti najmanj 3 m. Če je ravna dovozna pot na dolžini več kot 12 m omejena s stenami, oboki ali podobnimi elementi, je treba pot razširiti na najmanj 3,5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 standardu določena širina ravnega dela dovozne poti 3,0 m zadostuje za vozila, široka do 2,5 m, kar je normalna širina v cestnem prometu;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Dovozne poti za gasilska vozila morajo biti utrjene tako, da lahko po njih vozijo gasilska vozila z osno obremenit</w:t>
      </w:r>
      <w:r>
        <w:rPr>
          <w:rFonts w:ascii="Arial" w:eastAsia="Arial" w:hAnsi="Arial" w:cs="Arial"/>
          <w:sz w:val="21"/>
          <w:szCs w:val="21"/>
        </w:rPr>
        <w:softHyphen/>
        <w:t>vijo do 10 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Zapornice ali zaporni količki na dovoznih poteh se morajo odpreti s ključem za nadzemne hidrante po DIN 3223 (obešenke so dovoljene le, če premer zatiča ne presega 5 mm);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Dovozne poti morajo biti označene skladno z določili predpisa o prometni signalizaciji in prometni opremi na javnih cestah oziroma z napisom »Dovozna pot za gasilska vozila« na opozorilnih tablah;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Intervencijske poti so predvidene: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 Kajuhove poti krožno okoli objekta 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 Ljubljanske ulice in Šutne po javni poti do športnih površin in nato po zahodni strani objekta B do peš in kolesarske steze na južni strani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 novi servisni cesti ob Šolski ulici severno od obstoječe športne dvorane objekta 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 Šolske ulice po javni poti do obstoječih stanovanjskih objektov na jugovzhodu in nato proti zahodu po peš in kolesarski stezi do objekta 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5.    Hidrantno omrežje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Požarna zaščita objektov je predvidena z zunanjim hidrantnim omrežjem, in sicer s talnimi hidranti. Razmestitev hidrantov mora biti v skladu z veljavnimi predpisi in tehničnimi smernicami s področja požarne varnosti. Za potrebe gašenja požara mora biti zagotovljenih najmanj 15 l/s vode. Premer hidranta mora biti minimalno DN 80, tlak na hidrantu mora znašati najmanj 2,5 bara.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Rešitve in ukrepi za obrambo ter varstvo pred naravnimi in drugimi nesrečami so razvidne iz grafičnih načrtov št. 5.1 »Prikaz ureditev potrebnih za obrambo ter varstvo pred naravnimi in drugimi nesrečami, vključno z varstvom pred požarom«.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6.d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(oprostitve plačila komunalnega prispevka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gradnjo obeh osnovnih šol se ne plača komunalni prispevek.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VI. REŽIM IN ZAČASNA NAMEMBNOST ZEMLJIŠČ</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7.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(črtan)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VII. OBVEZNOSTI INVESTITORJEV IN IZVAJALCEV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(obveznosti investitorjev in izvajalcev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Investitor in izvajalci morajo med gradnjo zagotoviti prometno varnost ter kakovost bivalnega okolja, zato morajo: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organizirati promet tako, da se prometna varnost zaradi gradnje ne bo poslabšala in da ne bo prihajalo do zastojev na obstoječem cestnem omrežju,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zagotoviti nemoteno komunalno oskrbo prek vseh obstoječih infrastrukturnih vodov in naprav ter infrastrukturne vode takoj obnoviti, če so ob gradnji poškodovani,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paziti, da niso prekoračene kritične ravni hrupa, predpisane za IV. stopnjo varovanja pred hrupom,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sanirati zaradi gradnje poškodovane objekte ter pripadajoče ureditve in naprave, kar je pogoj za pridobitev uporabnega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zagotoviti ustrezen strokovni nadzor, vključno z rednim nadzorom stanja objektov v vplivnem območju,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investitor mora zagotoviti naročilo za prevzem gradbenih odpadkov, preden se začnejo izvajati gradbena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material od izkopa gradbene jame je potrebno deponirati na trajno deponijo ali uporabiti za nasutje.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 xml:space="preserve">VII. TOLERANCA PRI GABARITIH </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Kolesarske steze in komunalni priključki imajo lahko odstopanja od predvidenih tras za max 200 cm, če ni cestnih in drugih omejitev.</w:t>
      </w:r>
      <w:r>
        <w:rPr>
          <w:rFonts w:ascii="Arial" w:eastAsia="Arial" w:hAnsi="Arial" w:cs="Arial"/>
          <w:b/>
          <w:bCs/>
          <w:sz w:val="21"/>
          <w:szCs w:val="21"/>
          <w:lang w:val="sl" w:eastAsia="sl"/>
        </w:rPr>
        <w:t xml:space="preserve"> (črtan)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1.    Tlorisni gabariti objektov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Tlorisni gabariti objektov se smejo spremeniti do +2 m po dolžini in širini objekta kolikor je zagotovljen odmik 4 m od parcelne meje sosednjega lastnika. Dovoljeni so tudi previsi v etažah iz osnovnega gabarita objekta do +2,5 m, kolikor le ti ne segajo v navpični projekciji bližje kot 4 m od parcelne meje sosednjega lastnika. Odmik, manjši od 4 m, je možen, kolikor se pridobi soglasje lastnika sosednjega zemljišča.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Velikost kleti se lahko poveča od tlorisne velikosti objekta na terenu, kolikor je to mogoče glede na komunalno ureditev okoli objekta. V primeru odmika kleti do parcelne meje za manj kot 4 m je potrebno pridobiti soglasje lastnika sosednjega zemljišča.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Objekti so lahko manjši od predpisanih gabaritov glede na arhitekturno zasnovo objekta.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2.    Višinski gabariti objekta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Odstopanja višinskega gabarita so lahko do ± 1,00 m. Nad najvišjo dovoljeno koto objekta so dopustne inštalacijske naprave in zasloni zanje.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3.    Višinska regulacija terena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Odstopanja od višinskih kot regulacije terena so dovoljena za potrebe odvodnjavanja, prilagoditev naklona klančin, sprememb višinskih kot komunalnih vodov in zaradi posegov, skladnih z načrtom zunanjih ureditev.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lang w:val="sl" w:eastAsia="sl"/>
        </w:rPr>
        <w:t>4.    Zunanje ureditve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V času gradnje je potrebno zagotoviti začasne minimalne površine zunanjih športnih igrišč, </w:t>
      </w:r>
      <w:r>
        <w:rPr>
          <w:rFonts w:ascii="Arial" w:eastAsia="Arial" w:hAnsi="Arial" w:cs="Arial"/>
          <w:sz w:val="21"/>
          <w:szCs w:val="21"/>
          <w:lang w:val="sl" w:eastAsia="sl"/>
        </w:rPr>
        <w:t>ki se lahko razlikujejo od končne rešitve. Razporeditev športnih igrišč, otroških igrišč in dvorišč se lahko spreminja znotraj območij, ki so namenjena za njihovo ureditev.</w:t>
      </w:r>
    </w:p>
    <w:p>
      <w:pPr>
        <w:pStyle w:val="center"/>
        <w:pBdr>
          <w:top w:val="none" w:sz="0" w:space="24" w:color="auto"/>
        </w:pBdr>
        <w:spacing w:before="210" w:after="210"/>
        <w:ind w:left="0" w:right="0"/>
        <w:rPr>
          <w:rFonts w:ascii="Arial" w:eastAsia="Arial" w:hAnsi="Arial" w:cs="Arial"/>
          <w:caps/>
          <w:sz w:val="21"/>
          <w:szCs w:val="21"/>
        </w:rPr>
      </w:pPr>
      <w:r>
        <w:rPr>
          <w:rStyle w:val="tevilnatokaZnak"/>
          <w:rFonts w:ascii="Arial" w:eastAsia="Arial" w:hAnsi="Arial" w:cs="Arial"/>
          <w:caps/>
          <w:sz w:val="21"/>
          <w:szCs w:val="21"/>
          <w:lang w:val="sl" w:eastAsia="sl"/>
        </w:rPr>
        <w:t>5.  Prometne ureditve, komunalni vodi, objekti in naprave v območju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Odstopanja pri trasah prometnih ureditev, komunalnih in energetskih vodov ter naprav so</w:t>
      </w:r>
      <w:r>
        <w:rPr>
          <w:rFonts w:ascii="Arial" w:eastAsia="Arial" w:hAnsi="Arial" w:cs="Arial"/>
          <w:sz w:val="21"/>
          <w:szCs w:val="21"/>
        </w:rPr>
        <w:t xml:space="preserve"> </w:t>
      </w:r>
      <w:r>
        <w:rPr>
          <w:rFonts w:ascii="Arial" w:eastAsia="Arial" w:hAnsi="Arial" w:cs="Arial"/>
          <w:sz w:val="21"/>
          <w:szCs w:val="21"/>
          <w:lang w:val="sl" w:eastAsia="sl"/>
        </w:rPr>
        <w:t>dovoljena s soglasjem nosilcev urejanja prostora. Dopustne so spremembe tras posameznih prometnih ureditev, komunalnih vodov, objektov in naprav ter priključkov zaradi ustreznejše oskrbe in racionalnejše izrabe prostora. V skladu s pogoji upravljavcev so dopustne tudi izvedbe prometnih ureditev in komunalnih vodov, ki jih v fazi priprave sprememb in dopolnitev UN ni bilo mogoče predvideti.</w:t>
      </w:r>
    </w:p>
    <w:p>
      <w:pPr>
        <w:pStyle w:val="p"/>
        <w:spacing w:before="210" w:after="210"/>
        <w:ind w:left="0" w:right="0"/>
        <w:rPr>
          <w:rFonts w:ascii="Arial" w:eastAsia="Arial" w:hAnsi="Arial" w:cs="Arial"/>
          <w:sz w:val="21"/>
          <w:szCs w:val="21"/>
        </w:rPr>
      </w:pPr>
      <w:r>
        <w:rPr>
          <w:rFonts w:ascii="Arial" w:eastAsia="Arial" w:hAnsi="Arial" w:cs="Arial"/>
          <w:lang w:val="sl" w:eastAsia="sl"/>
        </w:rPr>
        <w:t>Odlok o sprejetju ureditvenega načrta K-9 Šole (Uradni list SRS, št. 21/89) vsebuje naslednje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»IX. KONČNE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10.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Zazidalni načrt je delovnim ljudem in občanom, organizacijam združenega dela, samo</w:t>
      </w:r>
      <w:r>
        <w:rPr>
          <w:rFonts w:ascii="Arial" w:eastAsia="Arial" w:hAnsi="Arial" w:cs="Arial"/>
          <w:sz w:val="21"/>
          <w:szCs w:val="21"/>
          <w:lang w:val="sl" w:eastAsia="sl"/>
        </w:rPr>
        <w:softHyphen/>
        <w:t>upravnim organizacijam in skupnostim stalno na vpogled pri Komiteju za urejanje prostora in varstvo okolja Skupščine občine Kamnik, v Zavodu za družbeno planiran</w:t>
      </w:r>
      <w:r>
        <w:rPr>
          <w:rFonts w:ascii="Arial" w:eastAsia="Arial" w:hAnsi="Arial" w:cs="Arial"/>
          <w:sz w:val="21"/>
          <w:szCs w:val="21"/>
          <w:lang w:val="sl" w:eastAsia="sl"/>
        </w:rPr>
        <w:softHyphen/>
        <w:t xml:space="preserve">je in urbanistično načrtovanje ter na sedežu Krajevne skupnosti. </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11.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Nadzorstvo nad izvajanjem tega Odloka opravlja Urbanistična inšpekcija občinskega inšpektorata Kamnik </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12.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Ta Odlok začne veljati osmi dan po objavi v Uradnem listu SRS«.</w:t>
      </w:r>
    </w:p>
    <w:p>
      <w:pPr>
        <w:pStyle w:val="p"/>
        <w:spacing w:before="210" w:after="210"/>
        <w:ind w:left="0" w:right="0"/>
        <w:rPr>
          <w:rFonts w:ascii="Arial" w:eastAsia="Arial" w:hAnsi="Arial" w:cs="Arial"/>
          <w:sz w:val="21"/>
          <w:szCs w:val="21"/>
        </w:rPr>
      </w:pPr>
      <w:r>
        <w:rPr>
          <w:rFonts w:ascii="Arial" w:eastAsia="Arial" w:hAnsi="Arial" w:cs="Arial"/>
          <w:lang w:val="sl" w:eastAsia="sl"/>
        </w:rPr>
        <w:t>Odlok o spremembah in dopolnitvah Odloka o sprejetju ureditvenega načrta K-9 Šole (Uradni list RS, št. 27/10) spreminja oštevilčenje točk 4. člena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4. členu odloka se črtajo točke A1, A4, A5 in B. Točke A2, A3, C in D se preimenujejo, in sicer A2 v 1, A3 v 2, C v 3 in D v 4.«</w:t>
      </w:r>
    </w:p>
    <w:p>
      <w:pPr>
        <w:pStyle w:val="p"/>
        <w:spacing w:before="210" w:after="210"/>
        <w:ind w:left="0" w:right="0"/>
        <w:rPr>
          <w:rFonts w:ascii="Arial" w:eastAsia="Arial" w:hAnsi="Arial" w:cs="Arial"/>
          <w:sz w:val="21"/>
          <w:szCs w:val="21"/>
        </w:rPr>
      </w:pPr>
      <w:r>
        <w:rPr>
          <w:rFonts w:ascii="Arial" w:eastAsia="Arial" w:hAnsi="Arial" w:cs="Arial"/>
          <w:lang w:val="sl" w:eastAsia="sl"/>
        </w:rPr>
        <w:t>ter vsebuje naslednje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»IX. KONČNE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24.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10. člen odloka se v celoti nadomesti z naslednjim besedilom: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»10. člen</w:t>
      </w:r>
    </w:p>
    <w:p>
      <w:pPr>
        <w:pStyle w:val="p"/>
        <w:spacing w:before="210" w:after="210"/>
        <w:ind w:left="0" w:right="0"/>
        <w:rPr>
          <w:rFonts w:ascii="Arial" w:eastAsia="Arial" w:hAnsi="Arial" w:cs="Arial"/>
          <w:sz w:val="21"/>
          <w:szCs w:val="21"/>
        </w:rPr>
      </w:pPr>
      <w:r>
        <w:rPr>
          <w:rFonts w:ascii="Arial" w:eastAsia="Arial" w:hAnsi="Arial" w:cs="Arial"/>
          <w:lang w:val="sl" w:eastAsia="sl"/>
        </w:rPr>
        <w:t>(vpogled v spremembe in dopolnitve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Spremembe in dopolnitve UN so stalno na vpogled pri pripravljavcu, Občini Kamnik in na Upravni enoti Kamnik.«</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25.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10. členom se doda nov 10.a člen, ki se glasi: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»10.a člen</w:t>
      </w:r>
    </w:p>
    <w:p>
      <w:pPr>
        <w:pStyle w:val="p"/>
        <w:spacing w:before="210" w:after="210"/>
        <w:ind w:left="0" w:right="0"/>
        <w:rPr>
          <w:rFonts w:ascii="Arial" w:eastAsia="Arial" w:hAnsi="Arial" w:cs="Arial"/>
          <w:sz w:val="21"/>
          <w:szCs w:val="21"/>
        </w:rPr>
      </w:pPr>
      <w:r>
        <w:rPr>
          <w:rFonts w:ascii="Arial" w:eastAsia="Arial" w:hAnsi="Arial" w:cs="Arial"/>
          <w:lang w:val="sl" w:eastAsia="sl"/>
        </w:rPr>
        <w:t>(usmeritve za določitev meril in pogojev po uveljavitvi veljavnosti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območja UN, ki so v veljavnem Dolgoročnem planu Občine Kamnik namenjena stanovanjem in spremljajočim dejavnostim, obvodnemu in vodnemu prostoru ter osrednjim dejavnostim, ostajajo določila odloka UN nespremenjena.«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26.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Za 10.a členom se doda nov 10.b člen, ki se glasi: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»10.b člen</w:t>
      </w:r>
    </w:p>
    <w:p>
      <w:pPr>
        <w:pStyle w:val="p"/>
        <w:spacing w:before="210" w:after="210"/>
        <w:ind w:left="0" w:right="0"/>
        <w:rPr>
          <w:rFonts w:ascii="Arial" w:eastAsia="Arial" w:hAnsi="Arial" w:cs="Arial"/>
          <w:sz w:val="21"/>
          <w:szCs w:val="21"/>
        </w:rPr>
      </w:pPr>
      <w:r>
        <w:rPr>
          <w:rFonts w:ascii="Arial" w:eastAsia="Arial" w:hAnsi="Arial" w:cs="Arial"/>
          <w:lang w:val="sl" w:eastAsia="sl"/>
        </w:rPr>
        <w:t>(usmeritve za določitev meril in pogojev po prenehanju veljavnosti sprememb in dopolnitev 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Po izvedbi s spremembami in dopolnitvami UN predvidene prostorske ureditve so dopustna redna in investicijsko vzdrževalna dela, spremembe namembnosti v okviru dopustnih dejavnosti za posamezno prostorsko enoto ter rekonstrukcije, s katerimi se ne spreminja zunanji gabarit objektov in fasadni plašč.«</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27.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11. člen odloka se v celoti nadomesti z naslednjim besedilom: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»11. člen</w:t>
      </w:r>
    </w:p>
    <w:p>
      <w:pPr>
        <w:pStyle w:val="p"/>
        <w:spacing w:before="210" w:after="210"/>
        <w:ind w:left="0" w:right="0"/>
        <w:rPr>
          <w:rFonts w:ascii="Arial" w:eastAsia="Arial" w:hAnsi="Arial" w:cs="Arial"/>
          <w:sz w:val="21"/>
          <w:szCs w:val="21"/>
        </w:rPr>
      </w:pPr>
      <w:r>
        <w:rPr>
          <w:rFonts w:ascii="Arial" w:eastAsia="Arial" w:hAnsi="Arial" w:cs="Arial"/>
          <w:lang w:val="sl" w:eastAsia="sl"/>
        </w:rPr>
        <w:t>(nadzor nad izvajanjem)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Nadzor nad izvajanjem tega odloka opravlja MOP – Inšpektorat RS za okolje in prostor.«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28. člen</w:t>
      </w:r>
    </w:p>
    <w:p>
      <w:pPr>
        <w:pStyle w:val="p"/>
        <w:spacing w:before="210" w:after="210"/>
        <w:ind w:left="0" w:right="0"/>
        <w:rPr>
          <w:rFonts w:ascii="Arial" w:eastAsia="Arial" w:hAnsi="Arial" w:cs="Arial"/>
          <w:sz w:val="21"/>
          <w:szCs w:val="21"/>
        </w:rPr>
      </w:pPr>
      <w:r>
        <w:rPr>
          <w:rFonts w:ascii="Arial" w:eastAsia="Arial" w:hAnsi="Arial" w:cs="Arial"/>
          <w:lang w:val="sl" w:eastAsia="sl"/>
        </w:rPr>
        <w:t>(veljavnost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Ta odlok začne veljati petnajsti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lang w:val="sl" w:eastAsia="sl"/>
        </w:rPr>
        <w:t xml:space="preserve">Odlok o spremembah in dopolnitvah Odloka o sprejetju ureditvenega načrta K-9 Šole (Uradni list RS, št. 31/12) spreminja oštevilčenje točk 2. člena odloka: </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»V 2. členu se pred prvim odstavkom doda naslov: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»1. Potek meje območja«.«;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»Naslov pod točko »1. Obseg sprememb in dopolnitev UN« se spremeni tako, da naslov postane točka 2.«;</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»Naslov pod točko »3. Prostorske enote v območju sprememb in dopolnitev UN« se spremeni tako, da se nov naslov glasi »4. Grafični prikaz območja sprememb in dopolnitev UN«</w:t>
      </w:r>
    </w:p>
    <w:p>
      <w:pPr>
        <w:pStyle w:val="p"/>
        <w:spacing w:before="210" w:after="210"/>
        <w:ind w:left="0" w:right="0"/>
        <w:rPr>
          <w:rFonts w:ascii="Arial" w:eastAsia="Arial" w:hAnsi="Arial" w:cs="Arial"/>
          <w:sz w:val="21"/>
          <w:szCs w:val="21"/>
        </w:rPr>
      </w:pPr>
      <w:r>
        <w:rPr>
          <w:rFonts w:ascii="Arial" w:eastAsia="Arial" w:hAnsi="Arial" w:cs="Arial"/>
          <w:lang w:val="sl" w:eastAsia="sl"/>
        </w:rPr>
        <w:t>ter vsebuje naslednje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»VIII. KONČNE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24. člen</w:t>
      </w:r>
    </w:p>
    <w:p>
      <w:pPr>
        <w:pStyle w:val="p"/>
        <w:spacing w:before="210" w:after="210"/>
        <w:ind w:left="0" w:right="0"/>
        <w:rPr>
          <w:rFonts w:ascii="Arial" w:eastAsia="Arial" w:hAnsi="Arial" w:cs="Arial"/>
          <w:sz w:val="21"/>
          <w:szCs w:val="21"/>
        </w:rPr>
      </w:pPr>
      <w:r>
        <w:rPr>
          <w:rFonts w:ascii="Arial" w:eastAsia="Arial" w:hAnsi="Arial" w:cs="Arial"/>
          <w:lang w:val="sl" w:eastAsia="sl"/>
        </w:rPr>
        <w:t>(veljavnost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Ta odlok začne veljati naslednji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lang w:val="sl" w:eastAsia="sl"/>
        </w:rPr>
        <w:t>Odlok o spremembah in dopolnitvah Odloka o sprejetju ureditvenega načrta K-9 Šole (Uradni list RS, št. 97/15) vsebuje naslednje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lang w:val="sl" w:eastAsia="sl"/>
        </w:rPr>
        <w:t>»V. KONČNE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11. člen</w:t>
      </w:r>
    </w:p>
    <w:p>
      <w:pPr>
        <w:pStyle w:val="p"/>
        <w:spacing w:before="210" w:after="210"/>
        <w:ind w:left="0" w:right="0"/>
        <w:rPr>
          <w:rFonts w:ascii="Arial" w:eastAsia="Arial" w:hAnsi="Arial" w:cs="Arial"/>
          <w:sz w:val="21"/>
          <w:szCs w:val="21"/>
        </w:rPr>
      </w:pPr>
      <w:r>
        <w:rPr>
          <w:rFonts w:ascii="Arial" w:eastAsia="Arial" w:hAnsi="Arial" w:cs="Arial"/>
          <w:lang w:val="sl" w:eastAsia="sl"/>
        </w:rPr>
        <w:t>(vpogled v SDUN)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 xml:space="preserve">SDUN so na vpogled na Občini Kamnik in na Upravni enoti Kamnik. </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lang w:val="sl" w:eastAsia="sl"/>
        </w:rPr>
        <w:t>12. člen</w:t>
      </w:r>
    </w:p>
    <w:p>
      <w:pPr>
        <w:pStyle w:val="p"/>
        <w:spacing w:before="210" w:after="210"/>
        <w:ind w:left="0" w:right="0"/>
        <w:rPr>
          <w:rFonts w:ascii="Arial" w:eastAsia="Arial" w:hAnsi="Arial" w:cs="Arial"/>
          <w:sz w:val="21"/>
          <w:szCs w:val="21"/>
        </w:rPr>
      </w:pPr>
      <w:r>
        <w:rPr>
          <w:rFonts w:ascii="Arial" w:eastAsia="Arial" w:hAnsi="Arial" w:cs="Arial"/>
          <w:lang w:val="sl" w:eastAsia="sl"/>
        </w:rPr>
        <w:t>(veljavnost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lang w:val="sl" w:eastAsia="sl"/>
        </w:rPr>
        <w:t>Ta odlok začne veljati osmi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tabela">
    <w:name w:val="tabela"/>
    <w:basedOn w:val="Normal"/>
  </w:style>
  <w:style w:type="paragraph" w:customStyle="1" w:styleId="p">
    <w:name w:val="p"/>
    <w:basedOn w:val="Normal"/>
    <w:rPr>
      <w:sz w:val="21"/>
      <w:szCs w:val="21"/>
    </w:rPr>
  </w:style>
  <w:style w:type="table" w:customStyle="1" w:styleId="MsoNormalTable">
    <w:name w:val="MsoNormalTable"/>
    <w:basedOn w:val="TableNormal"/>
    <w:tblPr/>
  </w:style>
  <w:style w:type="character" w:customStyle="1" w:styleId="tevilnatokaZnak">
    <w:name w:val="tevilnatokaZnak"/>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MP_ODLO29707 NPB3</dc:title>
  <cp:revision>1</cp:revision>
</cp:coreProperties>
</file>