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 alinee prvega odstavka 107. člena in prvega odstavka 91. člena Ustave Republike Slovenije izdajam</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 K A Z</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razglasitvi Zakona o spremembah in dopolnitvah Zakona o tujcih (ZTuj-2C)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Razglašam Zakon o spremembah in dopolnitvah Zakona o tujcih (ZTuj-2C), ki ga je sprejel Državni zbor Republike Slovenije na seji dne 9. marca 2015.</w:t>
      </w:r>
    </w:p>
    <w:p>
      <w:pPr>
        <w:pStyle w:val="p"/>
        <w:spacing w:before="210" w:after="210"/>
        <w:ind w:left="0" w:right="0"/>
        <w:rPr>
          <w:rFonts w:ascii="Arial" w:eastAsia="Arial" w:hAnsi="Arial" w:cs="Arial"/>
          <w:sz w:val="21"/>
          <w:szCs w:val="21"/>
        </w:rPr>
      </w:pPr>
      <w:r>
        <w:rPr>
          <w:rFonts w:ascii="Arial" w:eastAsia="Arial" w:hAnsi="Arial" w:cs="Arial"/>
        </w:rPr>
        <w:t>Št. 003-02-2/2015-24</w:t>
      </w:r>
    </w:p>
    <w:p>
      <w:pPr>
        <w:pStyle w:val="p"/>
        <w:spacing w:before="210" w:after="210"/>
        <w:ind w:left="0" w:right="0"/>
        <w:rPr>
          <w:rFonts w:ascii="Arial" w:eastAsia="Arial" w:hAnsi="Arial" w:cs="Arial"/>
          <w:sz w:val="21"/>
          <w:szCs w:val="21"/>
        </w:rPr>
      </w:pPr>
      <w:r>
        <w:rPr>
          <w:rFonts w:ascii="Arial" w:eastAsia="Arial" w:hAnsi="Arial" w:cs="Arial"/>
        </w:rPr>
        <w:t>Ljubljana, dne 17. marca 2015</w:t>
      </w:r>
    </w:p>
    <w:p>
      <w:pPr>
        <w:pStyle w:val="p"/>
        <w:spacing w:before="210" w:after="210"/>
        <w:ind w:left="0" w:right="0"/>
        <w:rPr>
          <w:rFonts w:ascii="Arial" w:eastAsia="Arial" w:hAnsi="Arial" w:cs="Arial"/>
          <w:sz w:val="21"/>
          <w:szCs w:val="21"/>
        </w:rPr>
      </w:pPr>
      <w:r>
        <w:rPr>
          <w:rFonts w:ascii="Arial" w:eastAsia="Arial" w:hAnsi="Arial" w:cs="Arial"/>
        </w:rPr>
        <w:t>Borut Pahor l.r. Predsednik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ZAKONA O TUJCIH (ZTuj-2C)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tujcih (Uradni list RS, št. 45/14 – uradno prečiščeno besedilo in 90/14) se za tretjim odstavkom 47.a člena doda nov četrti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Izjemoma lahko pristojni organ za družinskega člana šteje tudi drugega sorodnika begunca,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četrti, peti, šesti, sedmi, osmi, deveti in deseti odstavek postanejo peti, šesti, sedmi, osmi, deveti, deseti in enajsti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tretjim odstavkom 47.b člena se doda nov četrti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Izjemoma lahko pristojni organ za družinskega člana šteje tudi drugega sorodnika osebe s priznano subsidiarno zaščito,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četrti, peti, šesti, sedmi, osmi, deveti, deseti in enajsti odstavek postanejo peti, šesti, sedmi, osmi, deveti, deseti, enajsti in dvanajsti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213-04/14-8/18</w:t>
      </w:r>
    </w:p>
    <w:p>
      <w:pPr>
        <w:pStyle w:val="p"/>
        <w:spacing w:before="210" w:after="210"/>
        <w:ind w:left="0" w:right="0"/>
        <w:rPr>
          <w:rFonts w:ascii="Arial" w:eastAsia="Arial" w:hAnsi="Arial" w:cs="Arial"/>
          <w:sz w:val="21"/>
          <w:szCs w:val="21"/>
        </w:rPr>
      </w:pPr>
      <w:r>
        <w:rPr>
          <w:rFonts w:ascii="Arial" w:eastAsia="Arial" w:hAnsi="Arial" w:cs="Arial"/>
        </w:rPr>
        <w:t>Ljubljana, dne 9. marca 2015</w:t>
      </w:r>
    </w:p>
    <w:p>
      <w:pPr>
        <w:pStyle w:val="p"/>
        <w:spacing w:before="210" w:after="210"/>
        <w:ind w:left="0" w:right="0"/>
        <w:rPr>
          <w:rFonts w:ascii="Arial" w:eastAsia="Arial" w:hAnsi="Arial" w:cs="Arial"/>
          <w:sz w:val="21"/>
          <w:szCs w:val="21"/>
        </w:rPr>
      </w:pPr>
      <w:r>
        <w:rPr>
          <w:rFonts w:ascii="Arial" w:eastAsia="Arial" w:hAnsi="Arial" w:cs="Arial"/>
        </w:rPr>
        <w:t>EPA 259-VII</w:t>
      </w:r>
    </w:p>
    <w:p>
      <w:pPr>
        <w:pStyle w:val="p"/>
        <w:spacing w:before="210" w:after="210"/>
        <w:ind w:left="0" w:right="0"/>
        <w:rPr>
          <w:rFonts w:ascii="Arial" w:eastAsia="Arial" w:hAnsi="Arial" w:cs="Arial"/>
          <w:sz w:val="21"/>
          <w:szCs w:val="21"/>
        </w:rPr>
      </w:pPr>
      <w:r>
        <w:rPr>
          <w:rFonts w:ascii="Arial" w:eastAsia="Arial" w:hAnsi="Arial" w:cs="Arial"/>
        </w:rPr>
        <w:t>Državni zbor Republike Slovenije dr. Milan Brglez l.r. Predsednik</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ZAKO7085 NPB0</dc:title>
  <cp:revision>1</cp:revision>
</cp:coreProperties>
</file>