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46. in 57. člena Zakona o prostorskem načrtovanju (ZPNačrt) (Uradni list RS, št. 33/07, 70/08 ZVO-1B) in 32. člena Statuta Občine Kamnik (Uradni list RS, št. 101/08) je župan Občine Kamnik dne 7. 5. 2009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 K L E P</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pripravi občinskega podrobnega prostorskega načrta za območje B 23 JATA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sklepom župan Občine Kamnik določa, da se začne priprava občinskega podrobnega prostorskega načrta za območje B 23 JATA (v nadaljevanju OPPN) po postopku in na način, ki ga določata Zakon o prostorskem načrtovanju (ZPNačrt) in ta sklep. Podrobneje se oceni stanje, razlogi in ugotovi pravna podlaga za pripravo OPPN; nadalje predmet in programska izhodišča ter okvirno območje, nosilce urejanja prostora, ki dajejo smernice in mnenja ter druge udeležence, ki bodo sodelovali pri pripravi OPPN, seznam potrebnih strokovnih podlag, način pridobitve strokovnih rešitev, navedbo in način pridobitve geodetskih podlag, roke, tako za pripravo OPPN, kot njegovih posameznih faz, vključno z rokom za pripravo smernic za načrtovanje ter obveznosti v zvezi s financiranjem lokacijskega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Ocena stanja in razlogi za pripravo občinskega podrobnega prostorskega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Odloka o spremembah in dopolnitvah prostorskih sestavin dolgoročnega plana Občine Kamnik za obdobje 1986–2000 in srednjeročnega družbenega plana Občine Kamnik za obdobje 1986–1990, dopolnitev 2002 (Uradni list RS, št. 90/02) je območje, ki se ureja z OPPN, opredeljeno kot območje namenjeno za proizvodnjo in skladišča. Predvideno območje obravnave bo razdeljeno v dve funkcionalni enoti F1 in F2. Funkcionalna enota F1 bo namenjena ureditvi objektov za potrebe kmetijske proizvodnje in distribucije družbe Jate Emone d.o.o., funkcionalna enota F2 pa bo namenjena ureditvi proizvodno-poslovne obrtne cone s spremljajočimi dejavnostmi. Velikost območja je 11 ha.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Pravna podlaga priprave OPPN je veljavna zakonodaja, Zakon o prostorskem načrtovanju (ZPNačrt) (Uradni list RS, št. 33/07) ter sprejet Odlok o spremembah in dopolnitvah prostorskih sestavin dolgoročnega plana Občine Kamnik za obdobje 1986–2000 in srednjeročnega družbenega plana Občine Kamnik za obdobje 1986–1990, dopolnitev 2002 (Uradni list RS, št. 90/02).</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Predmet in programska izhodišča podrobnega prostorskega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Predmet OPPN je oblikovanje meril, pogojev in ukrepov ter priprava prostorskih rešitev na podlagi katerih bo možna kvalitetna umestitev načrtovanih programov na obravnavano območje. Ureditveno območje ima oznako B 23 JATA.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Izhodišče za pripravo OPPN je smiselno upoštevanje programske in urbanistične zasnove območja mesta Kamnik: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območjih proizvodne rabe se puščajo vitalni proizvodni programi, preostale površine se vsebinsko in urbanistično navezujejo na širše območje ob Korenovi poti.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podrobnega prostorskega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OPPN zajema območje B 23 JATA iz Urbanistične zasnove mesta Kamnik. Na jugu se napaja na Korenovo pot, kjer poteka tudi komunalna infrastruktura. Območje zajema zemljišča s parcelnimi številkami: 649/1, 649/2, 649/3, 649/4, 649/5, 649/6, 649/7,649/8, 649/9, 649/10, 649/11, 649/12, 649/13, 649/14, 649/15, 649/16, 649/17, 649/18, 649/19, 649/20, 649/21, 649/22, 673/1, 673/2, 763/3, 674/3, vse k. o. Podgorje.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Nosilci urejanja prostora, ki dajejo smernice in mnenja ter drugi udeleženci pri pripravi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Nosilci urejanja prostora, ki dajo mnenja k dopolnjenem predlogu Občinskega podrobnega prostorskega načrta, v skladu z ZPNačrt,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Elektro Ljubljana, PE Ljubljana okolica, Slovenska 58, 1516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Adriaplin d.o.o., Dunajska cesta 7, 1000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Komunalno podjetje Kamnik, Cankarjeva cesta 11, 1240 Kamnik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Krajevna skupnost Duplica, Jakopičeva 11, 1241 Kamnik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Ministrstvo za promet, Direkcija RS za ceste, Tržaška cesta 19, 1000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Telekom Slovenije, PE Ljubljana, Stegne 19, 1547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Geoplin d.o.o., Cesta Ljubljanske brigade 11, 1000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Ministrstvo za obrambo, Uprava RS za zaščito in reševanje, Vojkova 61, 1000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Ministrstvo za okolje in prostor, Agencija RS za okolje, Sektor za ohranjanje narave, Vojkova 52, 1001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Ministrstvo za okolje in prostor, Agencija RS za okolje, Urad za okolje, Vojkova 52, 1001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Ministrstvo za okolje in prostor, Agencija RS za okolje, Urad za upravljanje z vodami, Vojkova 1b, 1001 Ljubljana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Zavod za razvoj kabelsko satelitsko televizijskega sistema Kamnik, Neveljska 18, 1240 Kamnik.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Kolikor se tekom postopka utemeljeno ugotovi, da je potrebno v postopek vključiti dodatnega nosilca urejanja prostora, pripravljavec pozove tudi njega. V primeru molka nosilca urejanja prostora se šteje, da nima smernic, ki bi jih bilo potrebno nujno upoštevati.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Seznam potrebnih strokovnih podlag: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OPPN območja B 23 JATA se izdela na podlagi strokovnih podlag,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povzetkov in usmeritev veljavnih planskih aktov Občine Kamnik;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strokovnih podlag, ki so bile izdelane v okviru priprave planskih aktov občine;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temeljnega geodetskega elaborata in elaborata listin za identifikacijo posestnega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smernic pristojnih nosilcev urejanja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podatkov o geoloških in hidroloških stanjih terena;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idejnih rešitev prometne, komunalne, energetske ter ostale infrastrukture, omrežij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naprav, ki so vezani na območje.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Ukrepi in posegi za varovanje okolja bodo določeni v skladu s smernicami nosilcev urejanja prostora in z merili in pogoji, določenimi s predpisi.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Za območje urejanja B 23 JATA se pripravi program opremljanja zemljišč za gradnjo.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(3) Kolikor se tekom postopka priprave OPPN ugotovi, da je utemeljeno potrebno izdelati dodatne strokovne podlage, se te pripravijo med postopkom.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Način pridobitve strokovnih rešitev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Strokovne rešitve prostorskih ureditev ter ostale strokovne podlage pripravijo s strani pobudnika izbrani izvajalci. Temeljile bodo na strateških usmeritvah iz veljavnih prostorskih aktov občine ter njihovih strokovnih podlag, dejanskega stanja, razvojnih potrebah in varstvenih zahtevah nosilcev urejanja prostora, analizi razvojnih potreb občine, javnega in zasebnega sektorja.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Roki za pripravo občinskega prostorskega načrta in njegovih posameznih faz</w:t>
      </w:r>
    </w:p>
    <w:p>
      <w:pPr>
        <w:pStyle w:val="p"/>
        <w:spacing w:before="210" w:after="210"/>
        <w:ind w:left="0" w:right="0"/>
        <w:rPr>
          <w:rFonts w:ascii="Arial" w:eastAsia="Arial" w:hAnsi="Arial" w:cs="Arial"/>
          <w:sz w:val="21"/>
          <w:szCs w:val="21"/>
        </w:rPr>
      </w:pPr>
      <w:r>
        <w:rPr>
          <w:rFonts w:ascii="Arial" w:eastAsia="Arial" w:hAnsi="Arial" w:cs="Arial"/>
        </w:rPr>
        <w:t>text="+------------------+-----------------+-------------------------+ |Faza |Nosilec |Rok | +------------------+-----------------+-------------------------+ |Sklep o pričetku |župan, občina |7 dni | |postopka in objava| | | |v Uradnem listu | | | +------------------+-----------------+-------------------------+ |Izdelava osnutka |izvajalec |60 dni po uvedbi | | | |postopka | +------------------+-----------------+-------------------------+ |Pridobivanje |občina |30 dni po izdelavi | |smernic | |osnutka | +------------------+-----------------+-------------------------+ |Pridobitev mnenja |MOP na podlagi |30 dni po izdelavi | |glede CPVO |vloge občine |osnutka | +------------------+-----------------+-------------------------+ |Dopolnitev osnutka|izvajalec |15 dni po prejetju vseh | | | |smernic | +------------------+-----------------+-------------------------+ |Javna razgrnitev |občina |30 dni po potrditvi | |in javna | |dopolnjenega osnutka | |obravnava, 1. | | | |obravnava na OS | | | +------------------+-----------------+-------------------------+ |Stališča do |izvajalec, občina|7 dni po koncu javne | |pripomb | |razgrnitve in razprave | +------------------+-----------------+-------------------------+ |Izdelava predloga |izvajalec, občina|15 dni po potrditvi | +------------------+-----------------+-------------------------+ |Pridobivanje mnenj|občina |30 dni po izdelavi | | | |predloga | +------------------+-----------------+-------------------------+ |2. obravnava in |OS z odlokom |30 dni po prejetju vseh | |sprejem OPPN | |mnenj | +------------------+-----------------+-------------------------+ |Objava odloka | |30 dni po sprejemu OPPN |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Obveznosti v zvezi s financiranjem podrobnega prostorskega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obveznosti v zvezi s financiranjem prostorskega akta bremenijo pobudnika OPPN, to je družba Jata Emona d.o.o.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Veljavnost sklepa o pripravi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sklep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3505-0001/2009</w:t>
      </w:r>
    </w:p>
    <w:p>
      <w:pPr>
        <w:pStyle w:val="p"/>
        <w:spacing w:before="210" w:after="210"/>
        <w:ind w:left="0" w:right="0"/>
        <w:rPr>
          <w:rFonts w:ascii="Arial" w:eastAsia="Arial" w:hAnsi="Arial" w:cs="Arial"/>
          <w:sz w:val="21"/>
          <w:szCs w:val="21"/>
        </w:rPr>
      </w:pPr>
      <w:r>
        <w:rPr>
          <w:rFonts w:ascii="Arial" w:eastAsia="Arial" w:hAnsi="Arial" w:cs="Arial"/>
        </w:rPr>
        <w:t>Kamnik, dne 7. maja 2009</w:t>
      </w:r>
    </w:p>
    <w:p>
      <w:pPr>
        <w:pStyle w:val="p"/>
        <w:spacing w:before="210" w:after="210"/>
        <w:ind w:left="0" w:right="0"/>
        <w:rPr>
          <w:rFonts w:ascii="Arial" w:eastAsia="Arial" w:hAnsi="Arial" w:cs="Arial"/>
          <w:sz w:val="21"/>
          <w:szCs w:val="21"/>
        </w:rPr>
      </w:pPr>
      <w:r>
        <w:rPr>
          <w:rFonts w:ascii="Arial" w:eastAsia="Arial" w:hAnsi="Arial" w:cs="Arial"/>
        </w:rPr>
        <w:t>Župan Občine Kamnik Anton Tone Smolnikar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MP_SKLE18016 NPB0</dc:title>
  <cp:revision>1</cp:revision>
</cp:coreProperties>
</file>