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zamik"/>
        <w:pBdr>
          <w:top w:val="none" w:sz="0" w:space="12" w:color="auto"/>
        </w:pBdr>
        <w:spacing w:before="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SPITT d.o.o., Cesta na Roglo 11/j, Zreče, skladno s 97. členom Energetskega zakona (Uradni list RS, št. 27/07) objavlja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C E N I K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daljinskega ogrevanja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1.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Zaradi spremembe cene zemeljskega plina pri distributerju Petrol Energetika, d.o.o., Ljubljana se v mestu Zreče s 1. 3. 2012 spremeni cena toplotne energije.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Povprečna cena za MWh toplotne energije se zviša za 3,9218 %, tako da znaša nova povprečna cena toplotne energije 102,4943 Eur/MWh.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Pri fiksnem delu cene ni sprememb.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2.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Navedena cena daljinskega ogrevanja je oblikovana skladno z Uredbo o oblikovanju cen proizvodnje in distribucije pare in tople vode za namene daljinskega ogrevanja za tarifne odjemalce (Uradni list RS, št. 28/11).</w:t>
      </w:r>
    </w:p>
    <w:p>
      <w:pPr>
        <w:pStyle w:val="zamik"/>
        <w:pBdr>
          <w:top w:val="none" w:sz="0" w:space="12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Na navedeno ceno se skladno z Zakonom o davku na dodano vrednost obračuna še 20 % davek na dodano vrednost.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Št. 183/2012-02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Zreče, dne 28. februarja 2012</w:t>
      </w:r>
    </w:p>
    <w:p>
      <w:pPr>
        <w:pStyle w:val="p"/>
        <w:spacing w:before="210" w:after="210"/>
        <w:ind w:left="0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</w:rPr>
        <w:t>Direktor SPITT d.o.o. Djura Sabo l.r.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zamik">
    <w:name w:val="zamik"/>
    <w:basedOn w:val="Normal"/>
    <w:pPr>
      <w:ind w:firstLine="1021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p">
    <w:name w:val="p"/>
    <w:basedOn w:val="Normal"/>
    <w:rPr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MP_DRUG7117 NPB0</dc:title>
  <cp:revision>1</cp:revision>
</cp:coreProperties>
</file>